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7578D" w14:textId="5422B02E" w:rsidR="00DC7A04" w:rsidRPr="00F34050" w:rsidRDefault="00DC7A04" w:rsidP="00DC7A04">
      <w:pPr>
        <w:tabs>
          <w:tab w:val="left" w:pos="567"/>
        </w:tabs>
        <w:spacing w:line="360" w:lineRule="auto"/>
        <w:contextualSpacing/>
        <w:jc w:val="center"/>
        <w:rPr>
          <w:b/>
        </w:rPr>
      </w:pPr>
      <w:bookmarkStart w:id="0" w:name="_Hlk105436339"/>
      <w:r w:rsidRPr="00F34050">
        <w:rPr>
          <w:b/>
        </w:rPr>
        <w:t>ΔΕΕ ΙΙ</w:t>
      </w:r>
    </w:p>
    <w:p w14:paraId="5442B8BF" w14:textId="51CDB2AC" w:rsidR="00DC7A04" w:rsidRPr="00F34050" w:rsidRDefault="00DC7A04" w:rsidP="00DC7A04">
      <w:pPr>
        <w:tabs>
          <w:tab w:val="left" w:pos="567"/>
        </w:tabs>
        <w:spacing w:line="360" w:lineRule="auto"/>
        <w:contextualSpacing/>
        <w:jc w:val="center"/>
        <w:rPr>
          <w:b/>
        </w:rPr>
      </w:pPr>
      <w:r w:rsidRPr="00F34050">
        <w:rPr>
          <w:b/>
        </w:rPr>
        <w:t>Εξεταστική Ιουνίου 2022</w:t>
      </w:r>
    </w:p>
    <w:p w14:paraId="19DA73F8" w14:textId="5B4C41C8" w:rsidR="00DC7A04" w:rsidRPr="00F34050" w:rsidRDefault="00DC7A04" w:rsidP="00DC7A04">
      <w:pPr>
        <w:tabs>
          <w:tab w:val="left" w:pos="567"/>
        </w:tabs>
        <w:spacing w:line="360" w:lineRule="auto"/>
        <w:contextualSpacing/>
        <w:jc w:val="center"/>
        <w:rPr>
          <w:b/>
        </w:rPr>
      </w:pPr>
      <w:r w:rsidRPr="00F34050">
        <w:rPr>
          <w:b/>
        </w:rPr>
        <w:t>Ενδεικτικές απαντήσεις</w:t>
      </w:r>
    </w:p>
    <w:p w14:paraId="646B4DCC" w14:textId="77777777" w:rsidR="00DC7A04" w:rsidRPr="00F34050" w:rsidRDefault="00DC7A04" w:rsidP="00DC7A04">
      <w:pPr>
        <w:tabs>
          <w:tab w:val="left" w:pos="567"/>
        </w:tabs>
        <w:spacing w:line="360" w:lineRule="auto"/>
        <w:contextualSpacing/>
        <w:jc w:val="center"/>
        <w:rPr>
          <w:b/>
        </w:rPr>
      </w:pPr>
    </w:p>
    <w:p w14:paraId="4B8003DA" w14:textId="17847292" w:rsidR="007C41D5" w:rsidRPr="00F405C9" w:rsidRDefault="007C41D5" w:rsidP="00DC7A04">
      <w:pPr>
        <w:tabs>
          <w:tab w:val="left" w:pos="567"/>
        </w:tabs>
        <w:spacing w:line="360" w:lineRule="auto"/>
        <w:contextualSpacing/>
        <w:jc w:val="center"/>
        <w:rPr>
          <w:b/>
          <w:color w:val="C00000"/>
        </w:rPr>
      </w:pPr>
      <w:r w:rsidRPr="00F405C9">
        <w:rPr>
          <w:b/>
          <w:color w:val="C00000"/>
        </w:rPr>
        <w:t>ΑΣΚΗΣΗ 1</w:t>
      </w:r>
    </w:p>
    <w:bookmarkEnd w:id="0"/>
    <w:p w14:paraId="0920A182" w14:textId="77777777" w:rsidR="007C41D5" w:rsidRPr="00F34050" w:rsidRDefault="007C41D5" w:rsidP="00DC7A04">
      <w:pPr>
        <w:tabs>
          <w:tab w:val="left" w:pos="567"/>
        </w:tabs>
        <w:spacing w:line="360" w:lineRule="auto"/>
        <w:contextualSpacing/>
        <w:rPr>
          <w:b/>
        </w:rPr>
      </w:pPr>
    </w:p>
    <w:p w14:paraId="5D5E673C" w14:textId="093BEB5E" w:rsidR="00474725" w:rsidRPr="00F34050" w:rsidRDefault="00474725" w:rsidP="00DC7A04">
      <w:pPr>
        <w:spacing w:line="360" w:lineRule="auto"/>
        <w:contextualSpacing/>
        <w:jc w:val="center"/>
        <w:rPr>
          <w:b/>
          <w:bCs/>
        </w:rPr>
      </w:pPr>
      <w:r w:rsidRPr="00F34050">
        <w:rPr>
          <w:b/>
          <w:bCs/>
        </w:rPr>
        <w:t>Απάντηση</w:t>
      </w:r>
    </w:p>
    <w:p w14:paraId="5AC123AD" w14:textId="597875AD" w:rsidR="004455FD" w:rsidRPr="00F34050" w:rsidRDefault="004455FD" w:rsidP="00DC7A04">
      <w:pPr>
        <w:spacing w:line="360" w:lineRule="auto"/>
        <w:contextualSpacing/>
      </w:pPr>
    </w:p>
    <w:p w14:paraId="23C39F96" w14:textId="3D17F4C9" w:rsidR="003C3A6A" w:rsidRPr="00F34050" w:rsidRDefault="003C3A6A" w:rsidP="00DC7A04">
      <w:pPr>
        <w:spacing w:line="360" w:lineRule="auto"/>
        <w:contextualSpacing/>
        <w:jc w:val="both"/>
      </w:pPr>
      <w:r w:rsidRPr="00F34050">
        <w:t>Εάν ο Γιάννης προχωρήσει στην εισαγωγή του κρέατος στη Γαλλία, θα</w:t>
      </w:r>
      <w:r w:rsidR="004455FD" w:rsidRPr="00F34050">
        <w:t xml:space="preserve"> πρέπει να αμφισβητήσει </w:t>
      </w:r>
      <w:r w:rsidRPr="00F34050">
        <w:t xml:space="preserve">τη συμβατότητα της επίμαχης </w:t>
      </w:r>
      <w:r w:rsidR="004455FD" w:rsidRPr="00F34050">
        <w:t>γαλλική</w:t>
      </w:r>
      <w:r w:rsidRPr="00F34050">
        <w:t>ς</w:t>
      </w:r>
      <w:r w:rsidR="004455FD" w:rsidRPr="00F34050">
        <w:t xml:space="preserve"> νομοθεσία</w:t>
      </w:r>
      <w:r w:rsidRPr="00F34050">
        <w:t>ς</w:t>
      </w:r>
      <w:r w:rsidR="004455FD" w:rsidRPr="00F34050">
        <w:t xml:space="preserve"> </w:t>
      </w:r>
      <w:r w:rsidRPr="00F34050">
        <w:t xml:space="preserve">με το </w:t>
      </w:r>
      <w:proofErr w:type="spellStart"/>
      <w:r w:rsidRPr="00F34050">
        <w:t>ενωσιακό</w:t>
      </w:r>
      <w:proofErr w:type="spellEnd"/>
      <w:r w:rsidRPr="00F34050">
        <w:t xml:space="preserve"> δίκαιο περί ελεύθερης κυκλοφορίας εμπορευμάτων και να</w:t>
      </w:r>
      <w:r w:rsidR="004455FD" w:rsidRPr="00F34050">
        <w:t xml:space="preserve"> πετύχει την έκδοση </w:t>
      </w:r>
      <w:r w:rsidRPr="00F34050">
        <w:t xml:space="preserve">δικαστικής </w:t>
      </w:r>
      <w:r w:rsidR="004455FD" w:rsidRPr="00F34050">
        <w:t>απόφασης</w:t>
      </w:r>
      <w:r w:rsidRPr="00F34050">
        <w:t xml:space="preserve"> που να επιβεβαιώνει </w:t>
      </w:r>
      <w:r w:rsidR="000F3D2D" w:rsidRPr="00F34050">
        <w:t xml:space="preserve">την ασυμβατότητα αυτή. </w:t>
      </w:r>
    </w:p>
    <w:p w14:paraId="11308B80" w14:textId="079C1F79" w:rsidR="003C3A6A" w:rsidRPr="00F34050" w:rsidRDefault="004455FD" w:rsidP="00DC7A04">
      <w:pPr>
        <w:spacing w:line="360" w:lineRule="auto"/>
        <w:contextualSpacing/>
        <w:jc w:val="both"/>
      </w:pPr>
      <w:r w:rsidRPr="00F34050">
        <w:t xml:space="preserve">Ο πιο άμεσος τρόπος για να γίνει αυτό είναι να επιδιώξει να πουλήσει μια ποσότητα από το κρέας και τα λουκάνικα του στη Γαλλία και να κατηγορηθεί για παράβαση της εγχώριας νομοθεσίας. Μόλις η υπόθεση </w:t>
      </w:r>
      <w:r w:rsidR="003C3A6A" w:rsidRPr="00F34050">
        <w:t xml:space="preserve">εισαχθεί </w:t>
      </w:r>
      <w:r w:rsidRPr="00F34050">
        <w:t xml:space="preserve">ενώπιον </w:t>
      </w:r>
      <w:r w:rsidR="003C3A6A" w:rsidRPr="00F34050">
        <w:t xml:space="preserve">γαλλικού </w:t>
      </w:r>
      <w:r w:rsidRPr="00F34050">
        <w:t xml:space="preserve">δικαστηρίου, </w:t>
      </w:r>
      <w:r w:rsidR="000F3D2D" w:rsidRPr="00F34050">
        <w:t xml:space="preserve">ο Γιάννης </w:t>
      </w:r>
      <w:r w:rsidRPr="00F34050">
        <w:t>μπορεί να</w:t>
      </w:r>
      <w:r w:rsidR="003C3A6A" w:rsidRPr="00F34050">
        <w:t xml:space="preserve"> επικαλεσθεί την ασυμβατότητα της γαλλικής νομοθεσίας με το </w:t>
      </w:r>
      <w:proofErr w:type="spellStart"/>
      <w:r w:rsidR="003C3A6A" w:rsidRPr="00F34050">
        <w:t>ενωσι</w:t>
      </w:r>
      <w:r w:rsidR="00F405C9">
        <w:t>α</w:t>
      </w:r>
      <w:r w:rsidR="003C3A6A" w:rsidRPr="00F34050">
        <w:t>κό</w:t>
      </w:r>
      <w:proofErr w:type="spellEnd"/>
      <w:r w:rsidR="003C3A6A" w:rsidRPr="00F34050">
        <w:t xml:space="preserve"> δίκαιο και είναι πιθανό το γαλλικό δ</w:t>
      </w:r>
      <w:r w:rsidR="000F3D2D" w:rsidRPr="00F34050">
        <w:t>ι</w:t>
      </w:r>
      <w:r w:rsidR="003C3A6A" w:rsidRPr="00F34050">
        <w:t xml:space="preserve">καστήριο να στείλει προδικαστικό ερώτημα στο ΔΕΕ σύμφωνα με το ά. 267 ΣΛΕΕ. </w:t>
      </w:r>
    </w:p>
    <w:p w14:paraId="3DA3D494" w14:textId="77777777" w:rsidR="003C3A6A" w:rsidRPr="00F34050" w:rsidRDefault="003C3A6A" w:rsidP="00DC7A04">
      <w:pPr>
        <w:spacing w:line="360" w:lineRule="auto"/>
        <w:contextualSpacing/>
        <w:jc w:val="both"/>
      </w:pPr>
    </w:p>
    <w:p w14:paraId="3436A6EF" w14:textId="3D6A2BD7" w:rsidR="000F3D2D" w:rsidRPr="00F34050" w:rsidRDefault="00474725" w:rsidP="000F3D2D">
      <w:pPr>
        <w:spacing w:line="360" w:lineRule="auto"/>
        <w:contextualSpacing/>
        <w:jc w:val="both"/>
        <w:rPr>
          <w:bCs/>
        </w:rPr>
      </w:pPr>
      <w:r w:rsidRPr="00F34050">
        <w:t xml:space="preserve">Στην άσκηση </w:t>
      </w:r>
      <w:r w:rsidR="000F3D2D" w:rsidRPr="00F34050">
        <w:rPr>
          <w:bCs/>
        </w:rPr>
        <w:t xml:space="preserve">υπάρχει στοιχείο </w:t>
      </w:r>
      <w:proofErr w:type="spellStart"/>
      <w:r w:rsidR="000F3D2D" w:rsidRPr="00F34050">
        <w:rPr>
          <w:bCs/>
        </w:rPr>
        <w:t>διασυνοριακότητας</w:t>
      </w:r>
      <w:proofErr w:type="spellEnd"/>
      <w:r w:rsidR="000F3D2D" w:rsidRPr="00F34050">
        <w:rPr>
          <w:bCs/>
        </w:rPr>
        <w:t xml:space="preserve">, επομένως εφαρμόζεται το </w:t>
      </w:r>
      <w:proofErr w:type="spellStart"/>
      <w:r w:rsidR="000F3D2D" w:rsidRPr="00F34050">
        <w:rPr>
          <w:bCs/>
        </w:rPr>
        <w:t>ενωσιακό</w:t>
      </w:r>
      <w:proofErr w:type="spellEnd"/>
      <w:r w:rsidR="000F3D2D" w:rsidRPr="00F34050">
        <w:rPr>
          <w:bCs/>
        </w:rPr>
        <w:t xml:space="preserve"> δίκαιο. </w:t>
      </w:r>
    </w:p>
    <w:p w14:paraId="0C6CDEC4" w14:textId="59876D37" w:rsidR="00474725" w:rsidRPr="00F34050" w:rsidRDefault="000F3D2D" w:rsidP="00DC7A04">
      <w:pPr>
        <w:spacing w:line="360" w:lineRule="auto"/>
        <w:contextualSpacing/>
        <w:jc w:val="both"/>
      </w:pPr>
      <w:r w:rsidRPr="00F34050">
        <w:t>Θ</w:t>
      </w:r>
      <w:r w:rsidR="00842FDD" w:rsidRPr="00F34050">
        <w:t xml:space="preserve">α πρέπει να εξετασθεί εάν </w:t>
      </w:r>
      <w:r w:rsidR="00474725" w:rsidRPr="00F34050">
        <w:t>οι</w:t>
      </w:r>
      <w:r w:rsidR="00AF0CB2" w:rsidRPr="00F34050">
        <w:t xml:space="preserve"> ισχυρισμοί του «Γαλλικού Συμβουλίου Προώθησης Κρέατος» </w:t>
      </w:r>
      <w:r w:rsidR="00474725" w:rsidRPr="00F34050">
        <w:t xml:space="preserve">συνιστούν παραβίαση </w:t>
      </w:r>
      <w:r w:rsidR="00471792" w:rsidRPr="00F34050">
        <w:t xml:space="preserve">των διατάξεων της ΣΛΕΕ για την ελεύθερη κυκλοφορία των εμπορευμάτων </w:t>
      </w:r>
      <w:r w:rsidR="00474725" w:rsidRPr="00F34050">
        <w:t xml:space="preserve">του </w:t>
      </w:r>
      <w:r w:rsidR="00360E4B" w:rsidRPr="00F34050">
        <w:t>ά.</w:t>
      </w:r>
      <w:r w:rsidR="00474725" w:rsidRPr="00F34050">
        <w:t xml:space="preserve"> 34 ΣΛΕΕ, ή αν </w:t>
      </w:r>
      <w:r w:rsidRPr="00F34050">
        <w:t xml:space="preserve">οι ισχυρισμοί αυτοί </w:t>
      </w:r>
      <w:r w:rsidR="00474725" w:rsidRPr="00F34050">
        <w:t xml:space="preserve">δικαιολογούνται σύμφωνα με το </w:t>
      </w:r>
      <w:r w:rsidR="00360E4B" w:rsidRPr="00F34050">
        <w:t>ά.</w:t>
      </w:r>
      <w:r w:rsidR="00474725" w:rsidRPr="00F34050">
        <w:t xml:space="preserve"> 36 ΣΛΕΕ (1η κατηγορία εξαιρέσεων) ή σύμφωνα με τους επιτακτικούς λόγους δημοσίου συμφέροντος της</w:t>
      </w:r>
      <w:r w:rsidR="00474725" w:rsidRPr="00F34050">
        <w:rPr>
          <w:lang w:val="en-US"/>
        </w:rPr>
        <w:t>C</w:t>
      </w:r>
      <w:r w:rsidR="00474725" w:rsidRPr="00F34050">
        <w:t xml:space="preserve">–120/78, </w:t>
      </w:r>
      <w:r w:rsidR="00474725" w:rsidRPr="00F34050">
        <w:rPr>
          <w:i/>
          <w:lang w:val="en-US"/>
        </w:rPr>
        <w:t>Cassis</w:t>
      </w:r>
      <w:r w:rsidR="00474725" w:rsidRPr="00F34050">
        <w:rPr>
          <w:i/>
        </w:rPr>
        <w:t xml:space="preserve"> </w:t>
      </w:r>
      <w:r w:rsidR="00474725" w:rsidRPr="00F34050">
        <w:rPr>
          <w:i/>
          <w:lang w:val="en-US"/>
        </w:rPr>
        <w:t>de</w:t>
      </w:r>
      <w:r w:rsidR="00474725" w:rsidRPr="00F34050">
        <w:rPr>
          <w:i/>
        </w:rPr>
        <w:t xml:space="preserve"> </w:t>
      </w:r>
      <w:r w:rsidR="00474725" w:rsidRPr="00F34050">
        <w:rPr>
          <w:i/>
          <w:lang w:val="en-US"/>
        </w:rPr>
        <w:t>Dijon</w:t>
      </w:r>
      <w:r w:rsidR="00474725" w:rsidRPr="00F34050">
        <w:t xml:space="preserve"> (2</w:t>
      </w:r>
      <w:r w:rsidR="00474725" w:rsidRPr="00F34050">
        <w:rPr>
          <w:vertAlign w:val="superscript"/>
        </w:rPr>
        <w:t>η</w:t>
      </w:r>
      <w:r w:rsidR="00474725" w:rsidRPr="00F34050">
        <w:t xml:space="preserve"> κατηγορία εξαιρέσεων)</w:t>
      </w:r>
      <w:r w:rsidR="00AF0CB2" w:rsidRPr="00F34050">
        <w:t>.</w:t>
      </w:r>
    </w:p>
    <w:p w14:paraId="7DBD7D56" w14:textId="77777777" w:rsidR="00AF0CB2" w:rsidRPr="00F34050" w:rsidRDefault="00AF0CB2" w:rsidP="00DC7A04">
      <w:pPr>
        <w:spacing w:line="360" w:lineRule="auto"/>
        <w:contextualSpacing/>
        <w:jc w:val="both"/>
      </w:pPr>
    </w:p>
    <w:p w14:paraId="2C62CC2E" w14:textId="653FD394" w:rsidR="00182C87" w:rsidRPr="00F34050" w:rsidRDefault="00474725" w:rsidP="00DC7A04">
      <w:pPr>
        <w:spacing w:line="360" w:lineRule="auto"/>
        <w:contextualSpacing/>
        <w:jc w:val="both"/>
        <w:rPr>
          <w:bCs/>
          <w:i/>
        </w:rPr>
      </w:pPr>
      <w:r w:rsidRPr="00F34050">
        <w:rPr>
          <w:b/>
          <w:bCs/>
          <w:i/>
        </w:rPr>
        <w:t>α)</w:t>
      </w:r>
      <w:r w:rsidRPr="00F34050">
        <w:rPr>
          <w:i/>
        </w:rPr>
        <w:t xml:space="preserve"> </w:t>
      </w:r>
      <w:r w:rsidR="00AF0CB2" w:rsidRPr="00F34050">
        <w:rPr>
          <w:i/>
        </w:rPr>
        <w:t>«</w:t>
      </w:r>
      <w:r w:rsidR="00AF0CB2" w:rsidRPr="00F34050">
        <w:rPr>
          <w:bCs/>
          <w:i/>
        </w:rPr>
        <w:t>τα πακέτα με το κρέας που παράγει δεν φέρουν ετικέτα στα γαλλικά, και συνεπώς δεν μπορούν να πωληθούν στη Γαλλία»</w:t>
      </w:r>
    </w:p>
    <w:p w14:paraId="2FCD7AEA" w14:textId="1CA07FAE" w:rsidR="009869A0" w:rsidRPr="00F34050" w:rsidRDefault="00437E98" w:rsidP="00DC7A04">
      <w:pPr>
        <w:spacing w:line="360" w:lineRule="auto"/>
        <w:contextualSpacing/>
        <w:jc w:val="both"/>
        <w:rPr>
          <w:rFonts w:eastAsia="Times New Roman"/>
          <w:lang w:eastAsia="el-GR"/>
        </w:rPr>
      </w:pPr>
      <w:r w:rsidRPr="00F34050">
        <w:rPr>
          <w:bCs/>
        </w:rPr>
        <w:t xml:space="preserve">Δεν πρόκειται για </w:t>
      </w:r>
      <w:r w:rsidR="00471792" w:rsidRPr="00F34050">
        <w:rPr>
          <w:bCs/>
        </w:rPr>
        <w:t xml:space="preserve">χρηματικής φύσης εμπόδιο στην ελεύθερη κυκλοφορία των εμπορευμάτων που θέτουν τα </w:t>
      </w:r>
      <w:r w:rsidR="00A70391" w:rsidRPr="00F34050">
        <w:rPr>
          <w:bCs/>
        </w:rPr>
        <w:t>Κ</w:t>
      </w:r>
      <w:r w:rsidR="00471792" w:rsidRPr="00F34050">
        <w:rPr>
          <w:bCs/>
        </w:rPr>
        <w:t>ράτη</w:t>
      </w:r>
      <w:r w:rsidR="00A70391" w:rsidRPr="00F34050">
        <w:rPr>
          <w:bCs/>
        </w:rPr>
        <w:t>-</w:t>
      </w:r>
      <w:r w:rsidR="00471792" w:rsidRPr="00F34050">
        <w:rPr>
          <w:bCs/>
        </w:rPr>
        <w:t xml:space="preserve">μέλη, άρα δεν αποτελεί </w:t>
      </w:r>
      <w:r w:rsidR="00FB45CE" w:rsidRPr="00F34050">
        <w:rPr>
          <w:bCs/>
        </w:rPr>
        <w:t>δασμό</w:t>
      </w:r>
      <w:r w:rsidRPr="00F34050">
        <w:rPr>
          <w:bCs/>
        </w:rPr>
        <w:t xml:space="preserve">, </w:t>
      </w:r>
      <w:r w:rsidR="00471792" w:rsidRPr="00F34050">
        <w:rPr>
          <w:bCs/>
        </w:rPr>
        <w:t xml:space="preserve">δηλαδή </w:t>
      </w:r>
      <w:r w:rsidR="00471792" w:rsidRPr="00F34050">
        <w:rPr>
          <w:rFonts w:eastAsiaTheme="minorEastAsia"/>
          <w:bCs/>
          <w:kern w:val="24"/>
          <w:lang w:eastAsia="el-GR"/>
        </w:rPr>
        <w:t xml:space="preserve">φόρο, ο οποίος επιβάλλεται κατά τη διέλευση των συνόρων ενός κράτους κατά την εισαγωγή, εξαγωγή ή διαμετακόμιση εμπορευμάτων, </w:t>
      </w:r>
      <w:r w:rsidRPr="00F34050">
        <w:rPr>
          <w:bCs/>
        </w:rPr>
        <w:t xml:space="preserve"> ούτε </w:t>
      </w:r>
      <w:r w:rsidR="00471792" w:rsidRPr="00F34050">
        <w:rPr>
          <w:rFonts w:eastAsiaTheme="minorEastAsia"/>
          <w:bCs/>
          <w:i/>
          <w:iCs/>
          <w:kern w:val="24"/>
          <w:lang w:eastAsia="el-GR"/>
        </w:rPr>
        <w:t>φορολογική επιβάρυνση ισοδυνάμου αποτελέσματος, δηλαδή</w:t>
      </w:r>
      <w:r w:rsidR="00471792" w:rsidRPr="00F34050">
        <w:rPr>
          <w:rFonts w:eastAsiaTheme="minorEastAsia"/>
          <w:b/>
          <w:bCs/>
          <w:i/>
          <w:iCs/>
          <w:kern w:val="24"/>
          <w:lang w:eastAsia="el-GR"/>
        </w:rPr>
        <w:t xml:space="preserve">  </w:t>
      </w:r>
      <w:r w:rsidR="00471792" w:rsidRPr="00F34050">
        <w:rPr>
          <w:rFonts w:eastAsiaTheme="minorEastAsia"/>
          <w:kern w:val="24"/>
          <w:lang w:eastAsia="el-GR"/>
        </w:rPr>
        <w:t xml:space="preserve">κάθε </w:t>
      </w:r>
      <w:r w:rsidR="00471792" w:rsidRPr="00F34050">
        <w:rPr>
          <w:rFonts w:eastAsiaTheme="minorEastAsia"/>
          <w:kern w:val="24"/>
          <w:lang w:eastAsia="el-GR"/>
        </w:rPr>
        <w:lastRenderedPageBreak/>
        <w:t xml:space="preserve">οικονομική επιβάρυνση, που επιβάλλεται από  δημόσια αρχή, η οποία εμφανίζει αποτελέσματα ισοδύναμα στο κοινοτικό εμπόριο με εκείνα ενός δασμού. </w:t>
      </w:r>
      <w:r w:rsidR="00BE7DC3" w:rsidRPr="00F34050">
        <w:t xml:space="preserve">Κατά το </w:t>
      </w:r>
      <w:r w:rsidR="00360E4B" w:rsidRPr="00F34050">
        <w:t>ά.</w:t>
      </w:r>
      <w:r w:rsidR="00BE7DC3" w:rsidRPr="00F34050">
        <w:t xml:space="preserve"> 34 ΣΛΕΕ οι ποσοτικοί περιορισμοί επί των εισαγωγών, καθώς και όλα τα μέτρα ισοδυνάμου αποτελέσματος με ποσοτικούς περιορισμούς (Μ.Ι.Α.Π.Π.), απαγορεύονται μεταξύ των κρατών μελών. Μέτρο ισοδυνάμου αποτελέσματος, κατά τον ορισμό στην </w:t>
      </w:r>
      <w:r w:rsidR="00BE7DC3" w:rsidRPr="00F34050">
        <w:rPr>
          <w:lang w:val="en-US"/>
        </w:rPr>
        <w:t>C</w:t>
      </w:r>
      <w:r w:rsidR="00BE7DC3" w:rsidRPr="00F34050">
        <w:t xml:space="preserve"> – 8/74, </w:t>
      </w:r>
      <w:proofErr w:type="spellStart"/>
      <w:r w:rsidR="00BE7DC3" w:rsidRPr="00F34050">
        <w:rPr>
          <w:i/>
          <w:lang w:val="en-US"/>
        </w:rPr>
        <w:t>Dassonville</w:t>
      </w:r>
      <w:proofErr w:type="spellEnd"/>
      <w:r w:rsidR="00BE7DC3" w:rsidRPr="00F34050">
        <w:rPr>
          <w:i/>
        </w:rPr>
        <w:t xml:space="preserve"> </w:t>
      </w:r>
      <w:r w:rsidR="00BE7DC3" w:rsidRPr="00F34050">
        <w:t xml:space="preserve"> συνιστά </w:t>
      </w:r>
      <w:proofErr w:type="spellStart"/>
      <w:r w:rsidR="00BE7DC3" w:rsidRPr="00F34050">
        <w:rPr>
          <w:lang w:val="en-US"/>
        </w:rPr>
        <w:t>i</w:t>
      </w:r>
      <w:proofErr w:type="spellEnd"/>
      <w:r w:rsidR="00BE7DC3" w:rsidRPr="00F34050">
        <w:t xml:space="preserve">. κάθε ρύθμιση του εμπορίου που θεσπίζεται από τα κράτη μέλη </w:t>
      </w:r>
      <w:r w:rsidR="00BE7DC3" w:rsidRPr="00F34050">
        <w:rPr>
          <w:lang w:val="en-US"/>
        </w:rPr>
        <w:t>ii</w:t>
      </w:r>
      <w:r w:rsidR="00BE7DC3" w:rsidRPr="00F34050">
        <w:t>. που είναι κατάλληλη να εμποδίσει, άμεσα ή έμμεσα, πραγματικά ή εν δυνάμει, το ενδοκοινοτικό εμπόριο.</w:t>
      </w:r>
      <w:r w:rsidR="00BE7DC3" w:rsidRPr="00F34050">
        <w:rPr>
          <w:bCs/>
          <w:i/>
        </w:rPr>
        <w:t xml:space="preserve"> </w:t>
      </w:r>
      <w:r w:rsidR="003E424D" w:rsidRPr="00F34050">
        <w:rPr>
          <w:bCs/>
          <w:iCs/>
        </w:rPr>
        <w:t xml:space="preserve">Τα ΜΙΑΠΠ μπορούν να εφαρμόζονται με διάκριση ή αδιακρίτως. </w:t>
      </w:r>
      <w:r w:rsidR="00BE7DC3" w:rsidRPr="00F34050">
        <w:rPr>
          <w:bCs/>
          <w:iCs/>
        </w:rPr>
        <w:t xml:space="preserve">Η απαγόρευση πώλησης στη Γαλλία των πακέτων με το κρέας που ο Γιάννης παράγει επειδή δεν φέρουν ετικέτα στα γαλλικά </w:t>
      </w:r>
      <w:r w:rsidR="00BE7DC3" w:rsidRPr="00F34050">
        <w:rPr>
          <w:iCs/>
        </w:rPr>
        <w:t>,</w:t>
      </w:r>
      <w:r w:rsidR="00BE7DC3" w:rsidRPr="00F34050">
        <w:t xml:space="preserve"> πληροί τα δύο παραπάνω κριτήρια και συνεπώς συνιστά Μ.Ι.Α.Π.Π.</w:t>
      </w:r>
      <w:r w:rsidR="000A15DB" w:rsidRPr="00F34050">
        <w:rPr>
          <w:b/>
        </w:rPr>
        <w:t xml:space="preserve"> </w:t>
      </w:r>
      <w:r w:rsidR="000A0785" w:rsidRPr="00F34050">
        <w:rPr>
          <w:bCs/>
        </w:rPr>
        <w:t xml:space="preserve">που </w:t>
      </w:r>
      <w:r w:rsidR="000A15DB" w:rsidRPr="00F34050">
        <w:rPr>
          <w:bCs/>
        </w:rPr>
        <w:t>παραβιάζει το ά</w:t>
      </w:r>
      <w:r w:rsidR="000A0785" w:rsidRPr="00F34050">
        <w:rPr>
          <w:bCs/>
        </w:rPr>
        <w:t>.</w:t>
      </w:r>
      <w:r w:rsidR="000A15DB" w:rsidRPr="00F34050">
        <w:rPr>
          <w:bCs/>
        </w:rPr>
        <w:t xml:space="preserve"> 34 </w:t>
      </w:r>
      <w:r w:rsidR="000A0785" w:rsidRPr="00F34050">
        <w:rPr>
          <w:bCs/>
        </w:rPr>
        <w:t>ΣΛΕΕ. Βρίσκει εφαρμογή η αρχή της αμοιβαίας</w:t>
      </w:r>
      <w:r w:rsidR="00A70391" w:rsidRPr="00F34050">
        <w:rPr>
          <w:bCs/>
        </w:rPr>
        <w:t xml:space="preserve"> αναγνώρισης</w:t>
      </w:r>
      <w:r w:rsidR="009869A0" w:rsidRPr="00F34050">
        <w:rPr>
          <w:bCs/>
        </w:rPr>
        <w:t xml:space="preserve">, που διατύπωσε το ΔΕΚ στην υπόθεση </w:t>
      </w:r>
      <w:r w:rsidR="009869A0" w:rsidRPr="00F34050">
        <w:rPr>
          <w:bCs/>
          <w:i/>
          <w:iCs/>
          <w:lang w:val="en-US"/>
        </w:rPr>
        <w:t>Cassis</w:t>
      </w:r>
      <w:r w:rsidR="009869A0" w:rsidRPr="00F34050">
        <w:rPr>
          <w:bCs/>
          <w:i/>
          <w:iCs/>
        </w:rPr>
        <w:t xml:space="preserve"> </w:t>
      </w:r>
      <w:r w:rsidR="009869A0" w:rsidRPr="00F34050">
        <w:rPr>
          <w:bCs/>
          <w:i/>
          <w:iCs/>
          <w:lang w:val="en-US"/>
        </w:rPr>
        <w:t>de</w:t>
      </w:r>
      <w:r w:rsidR="009869A0" w:rsidRPr="00F34050">
        <w:rPr>
          <w:bCs/>
          <w:i/>
          <w:iCs/>
        </w:rPr>
        <w:t xml:space="preserve"> </w:t>
      </w:r>
      <w:r w:rsidR="009869A0" w:rsidRPr="00F34050">
        <w:rPr>
          <w:bCs/>
          <w:i/>
          <w:iCs/>
          <w:lang w:val="en-US"/>
        </w:rPr>
        <w:t>Dijon</w:t>
      </w:r>
      <w:r w:rsidR="009869A0" w:rsidRPr="00F34050">
        <w:rPr>
          <w:bCs/>
          <w:i/>
          <w:iCs/>
        </w:rPr>
        <w:t>,</w:t>
      </w:r>
      <w:r w:rsidR="009869A0" w:rsidRPr="00F34050">
        <w:rPr>
          <w:bCs/>
        </w:rPr>
        <w:t xml:space="preserve"> κατά την οποία </w:t>
      </w:r>
      <w:r w:rsidR="009869A0" w:rsidRPr="00F34050">
        <w:rPr>
          <w:rFonts w:eastAsiaTheme="minorEastAsia"/>
          <w:kern w:val="24"/>
          <w:lang w:eastAsia="el-GR"/>
        </w:rPr>
        <w:t xml:space="preserve">παρά την ύπαρξη ενός εθνικού τεχνικού κανόνα στο κράτος μέλος προορισμού, τα προϊόντα που έχουν παραχθεί ή διατεθεί νόμιμα στην αγορά άλλου </w:t>
      </w:r>
      <w:r w:rsidR="00A70391" w:rsidRPr="00F34050">
        <w:rPr>
          <w:rFonts w:eastAsiaTheme="minorEastAsia"/>
          <w:kern w:val="24"/>
          <w:lang w:eastAsia="el-GR"/>
        </w:rPr>
        <w:t>Κ</w:t>
      </w:r>
      <w:r w:rsidR="009869A0" w:rsidRPr="00F34050">
        <w:rPr>
          <w:rFonts w:eastAsiaTheme="minorEastAsia"/>
          <w:kern w:val="24"/>
          <w:lang w:eastAsia="el-GR"/>
        </w:rPr>
        <w:t xml:space="preserve">ράτους </w:t>
      </w:r>
      <w:r w:rsidR="00A70391" w:rsidRPr="00F34050">
        <w:rPr>
          <w:rFonts w:eastAsiaTheme="minorEastAsia"/>
          <w:kern w:val="24"/>
          <w:lang w:eastAsia="el-GR"/>
        </w:rPr>
        <w:t xml:space="preserve">- </w:t>
      </w:r>
      <w:r w:rsidR="009869A0" w:rsidRPr="00F34050">
        <w:rPr>
          <w:rFonts w:eastAsiaTheme="minorEastAsia"/>
          <w:kern w:val="24"/>
          <w:lang w:eastAsia="el-GR"/>
        </w:rPr>
        <w:t>μέλους απολαύουν του βασικού δικαιώματος της ελεύθερης κυκλοφορίας, που διασφαλίζει  η ΣΛΕΕ. Επομένως, ο ισχυρισμός τ</w:t>
      </w:r>
      <w:r w:rsidR="001512D2" w:rsidRPr="00F34050">
        <w:rPr>
          <w:rFonts w:eastAsiaTheme="minorEastAsia"/>
          <w:kern w:val="24"/>
          <w:lang w:eastAsia="el-GR"/>
        </w:rPr>
        <w:t xml:space="preserve">ου «Γαλλικού Συμβουλίου Προώθησης Κρέατος» </w:t>
      </w:r>
      <w:r w:rsidR="009869A0" w:rsidRPr="00F34050">
        <w:rPr>
          <w:rFonts w:eastAsiaTheme="minorEastAsia"/>
          <w:kern w:val="24"/>
          <w:lang w:eastAsia="el-GR"/>
        </w:rPr>
        <w:t xml:space="preserve">θα απορριφθεί. </w:t>
      </w:r>
    </w:p>
    <w:p w14:paraId="00FCBD10" w14:textId="7AEDC655" w:rsidR="00BE7DC3" w:rsidRPr="00F34050" w:rsidRDefault="00BE7DC3" w:rsidP="00DC7A04">
      <w:pPr>
        <w:spacing w:line="360" w:lineRule="auto"/>
        <w:contextualSpacing/>
        <w:jc w:val="both"/>
        <w:rPr>
          <w:bCs/>
          <w:i/>
        </w:rPr>
      </w:pPr>
    </w:p>
    <w:p w14:paraId="64532515" w14:textId="4B290BC4" w:rsidR="00474725" w:rsidRPr="00F34050" w:rsidRDefault="00474725" w:rsidP="00DC7A04">
      <w:pPr>
        <w:spacing w:line="360" w:lineRule="auto"/>
        <w:contextualSpacing/>
        <w:jc w:val="both"/>
        <w:rPr>
          <w:bCs/>
          <w:i/>
        </w:rPr>
      </w:pPr>
      <w:r w:rsidRPr="00F34050">
        <w:rPr>
          <w:b/>
          <w:bCs/>
          <w:i/>
        </w:rPr>
        <w:t>β)</w:t>
      </w:r>
      <w:r w:rsidRPr="00F34050">
        <w:rPr>
          <w:i/>
        </w:rPr>
        <w:t xml:space="preserve"> </w:t>
      </w:r>
      <w:r w:rsidR="00DC7A04" w:rsidRPr="00F34050">
        <w:rPr>
          <w:i/>
        </w:rPr>
        <w:t>«</w:t>
      </w:r>
      <w:r w:rsidR="0058736B" w:rsidRPr="00F34050">
        <w:rPr>
          <w:bCs/>
          <w:i/>
        </w:rPr>
        <w:t>ο τιμοκατάλογος, που συμπεριέλαβε με το κρέας, δείχνει ότι π</w:t>
      </w:r>
      <w:r w:rsidR="001F1FDE" w:rsidRPr="00F34050">
        <w:rPr>
          <w:bCs/>
          <w:i/>
        </w:rPr>
        <w:t>ουλά</w:t>
      </w:r>
      <w:r w:rsidR="0058736B" w:rsidRPr="00F34050">
        <w:rPr>
          <w:bCs/>
          <w:i/>
        </w:rPr>
        <w:t xml:space="preserve"> το κρέας του σε τιμή χαμηλότερη από την κατώτερη τιμή πώλησης που είχε ορισθεί στη Γαλλία, και ως εκ τούτου είναι αντίθετος με το γαλλικό δίκαιο</w:t>
      </w:r>
      <w:r w:rsidR="00DC7A04" w:rsidRPr="00F34050">
        <w:rPr>
          <w:bCs/>
          <w:i/>
        </w:rPr>
        <w:t>»</w:t>
      </w:r>
    </w:p>
    <w:p w14:paraId="2DBDF94A" w14:textId="3387E58B" w:rsidR="00B06F3E" w:rsidRPr="00F34050" w:rsidRDefault="001512D2" w:rsidP="00DC7A04">
      <w:pPr>
        <w:tabs>
          <w:tab w:val="left" w:pos="567"/>
        </w:tabs>
        <w:spacing w:line="360" w:lineRule="auto"/>
        <w:contextualSpacing/>
        <w:jc w:val="both"/>
        <w:rPr>
          <w:b/>
        </w:rPr>
      </w:pPr>
      <w:r w:rsidRPr="00F34050">
        <w:rPr>
          <w:bCs/>
        </w:rPr>
        <w:t xml:space="preserve">Ο καθορισμός κατώτατης τιμής πώλησης του κρέατος στη Γαλλία συνιστά, κατά τα παραπάνω, απαγορευμένο </w:t>
      </w:r>
      <w:r w:rsidR="001F1FDE" w:rsidRPr="00F34050">
        <w:rPr>
          <w:bCs/>
        </w:rPr>
        <w:t>ΜΙΑΠΠ</w:t>
      </w:r>
      <w:r w:rsidRPr="00F34050">
        <w:rPr>
          <w:bCs/>
        </w:rPr>
        <w:t xml:space="preserve">. Με βάση την </w:t>
      </w:r>
      <w:r w:rsidR="001F1FDE" w:rsidRPr="00F34050">
        <w:rPr>
          <w:bCs/>
        </w:rPr>
        <w:t xml:space="preserve">αρχή </w:t>
      </w:r>
      <w:r w:rsidRPr="00F34050">
        <w:rPr>
          <w:bCs/>
        </w:rPr>
        <w:t xml:space="preserve">της </w:t>
      </w:r>
      <w:r w:rsidR="001F1FDE" w:rsidRPr="00F34050">
        <w:rPr>
          <w:bCs/>
        </w:rPr>
        <w:t xml:space="preserve">αμοιβαίας αναγνώρισης </w:t>
      </w:r>
      <w:r w:rsidRPr="00F34050">
        <w:rPr>
          <w:bCs/>
        </w:rPr>
        <w:t xml:space="preserve">που διατυπώθηκε από το ΔΕΚ στην υπόθεση </w:t>
      </w:r>
      <w:r w:rsidR="001F1FDE" w:rsidRPr="00F34050">
        <w:rPr>
          <w:bCs/>
          <w:i/>
          <w:iCs/>
          <w:lang w:val="en-US"/>
        </w:rPr>
        <w:t>Cassis</w:t>
      </w:r>
      <w:r w:rsidRPr="00F34050">
        <w:rPr>
          <w:bCs/>
          <w:i/>
          <w:iCs/>
        </w:rPr>
        <w:t xml:space="preserve"> </w:t>
      </w:r>
      <w:r w:rsidRPr="00F34050">
        <w:rPr>
          <w:bCs/>
          <w:i/>
          <w:iCs/>
          <w:lang w:val="en-US"/>
        </w:rPr>
        <w:t>de</w:t>
      </w:r>
      <w:r w:rsidRPr="00F34050">
        <w:rPr>
          <w:bCs/>
          <w:i/>
          <w:iCs/>
        </w:rPr>
        <w:t xml:space="preserve"> </w:t>
      </w:r>
      <w:r w:rsidRPr="00F34050">
        <w:rPr>
          <w:bCs/>
          <w:i/>
          <w:iCs/>
          <w:lang w:val="en-US"/>
        </w:rPr>
        <w:t>Dijon</w:t>
      </w:r>
      <w:r w:rsidRPr="00F34050">
        <w:rPr>
          <w:bCs/>
          <w:i/>
          <w:iCs/>
        </w:rPr>
        <w:t>,</w:t>
      </w:r>
      <w:r w:rsidR="00B06F3E" w:rsidRPr="00F34050">
        <w:rPr>
          <w:rFonts w:eastAsiaTheme="minorEastAsia"/>
          <w:bCs/>
          <w:kern w:val="24"/>
          <w:lang w:eastAsia="el-GR"/>
        </w:rPr>
        <w:t xml:space="preserve"> </w:t>
      </w:r>
      <w:r w:rsidR="00B06F3E" w:rsidRPr="00F34050">
        <w:rPr>
          <w:rFonts w:eastAsiaTheme="minorEastAsia"/>
          <w:kern w:val="24"/>
          <w:lang w:eastAsia="el-GR"/>
        </w:rPr>
        <w:t>ο ισχυρισμός του «Γαλλικού Συμβουλίου Προώθησης Κρέατος» θα απορριφθεί</w:t>
      </w:r>
    </w:p>
    <w:p w14:paraId="6F5EDF92" w14:textId="77777777" w:rsidR="00B06F3E" w:rsidRPr="00F34050" w:rsidRDefault="00B06F3E" w:rsidP="00DC7A04">
      <w:pPr>
        <w:tabs>
          <w:tab w:val="left" w:pos="567"/>
        </w:tabs>
        <w:spacing w:line="360" w:lineRule="auto"/>
        <w:contextualSpacing/>
        <w:jc w:val="both"/>
        <w:rPr>
          <w:b/>
        </w:rPr>
      </w:pPr>
    </w:p>
    <w:p w14:paraId="37BFC4F6" w14:textId="1C42FF0C" w:rsidR="0058736B" w:rsidRPr="00F34050" w:rsidRDefault="00474725" w:rsidP="00DC7A04">
      <w:pPr>
        <w:spacing w:line="360" w:lineRule="auto"/>
        <w:contextualSpacing/>
        <w:jc w:val="both"/>
        <w:rPr>
          <w:bCs/>
        </w:rPr>
      </w:pPr>
      <w:r w:rsidRPr="00F34050">
        <w:rPr>
          <w:b/>
          <w:bCs/>
          <w:i/>
        </w:rPr>
        <w:t>γ)</w:t>
      </w:r>
      <w:r w:rsidR="004B0913" w:rsidRPr="00F34050">
        <w:rPr>
          <w:bCs/>
        </w:rPr>
        <w:t xml:space="preserve"> </w:t>
      </w:r>
      <w:r w:rsidR="00A70391" w:rsidRPr="00F34050">
        <w:rPr>
          <w:bCs/>
          <w:i/>
          <w:iCs/>
        </w:rPr>
        <w:t>«</w:t>
      </w:r>
      <w:r w:rsidR="004B0913" w:rsidRPr="00F34050">
        <w:rPr>
          <w:bCs/>
          <w:i/>
          <w:iCs/>
        </w:rPr>
        <w:t>τα λουκάνικα περιέχουν πρόσθετες ουσίες που, αν και επιτρέπονται κατά το ελληνικό δίκαιο, απαγορεύονται κατά το γαλλικό δίκαιο</w:t>
      </w:r>
      <w:r w:rsidR="00A70391" w:rsidRPr="00F34050">
        <w:rPr>
          <w:bCs/>
          <w:i/>
          <w:iCs/>
        </w:rPr>
        <w:t>»</w:t>
      </w:r>
    </w:p>
    <w:p w14:paraId="77E15F6E" w14:textId="77777777" w:rsidR="00B86F9C" w:rsidRPr="00F34050" w:rsidRDefault="00C00236" w:rsidP="00B86F9C">
      <w:pPr>
        <w:spacing w:line="360" w:lineRule="auto"/>
        <w:contextualSpacing/>
        <w:jc w:val="both"/>
        <w:rPr>
          <w:rFonts w:eastAsiaTheme="minorEastAsia"/>
          <w:kern w:val="24"/>
          <w:lang w:eastAsia="el-GR"/>
        </w:rPr>
      </w:pPr>
      <w:r w:rsidRPr="00F34050">
        <w:rPr>
          <w:bCs/>
        </w:rPr>
        <w:t xml:space="preserve">Η απαγόρευση πώλησης λουκάνικων που έχουν παρασκευασθεί σε άλλα κράτη μέλη και που περιέχουν πρόσθετες ουσίες που απαγορεύονται κατά το γαλλικό δίκαιο συνιστά </w:t>
      </w:r>
      <w:r w:rsidR="00EC71D9" w:rsidRPr="00F34050">
        <w:rPr>
          <w:b/>
        </w:rPr>
        <w:t xml:space="preserve"> </w:t>
      </w:r>
      <w:r w:rsidR="00EC71D9" w:rsidRPr="00F34050">
        <w:rPr>
          <w:bCs/>
        </w:rPr>
        <w:t>κατά τα παραπάνω</w:t>
      </w:r>
      <w:r w:rsidR="00A70391" w:rsidRPr="00F34050">
        <w:rPr>
          <w:bCs/>
        </w:rPr>
        <w:t xml:space="preserve"> </w:t>
      </w:r>
      <w:r w:rsidR="00EC71D9" w:rsidRPr="00F34050">
        <w:rPr>
          <w:bCs/>
        </w:rPr>
        <w:t>ΜΙΑΠΠ</w:t>
      </w:r>
      <w:r w:rsidR="00EC71D9" w:rsidRPr="00F34050">
        <w:rPr>
          <w:b/>
        </w:rPr>
        <w:t xml:space="preserve"> </w:t>
      </w:r>
      <w:r w:rsidR="00EC71D9" w:rsidRPr="00F34050">
        <w:rPr>
          <w:bCs/>
        </w:rPr>
        <w:t xml:space="preserve">που παραβιάζει το ά. 34 ΣΛΕΕ </w:t>
      </w:r>
      <w:r w:rsidR="00EC71D9" w:rsidRPr="00F34050">
        <w:t xml:space="preserve">Ως προς το αν </w:t>
      </w:r>
      <w:r w:rsidR="00A70391" w:rsidRPr="00F34050">
        <w:t>δικαιολογείτ</w:t>
      </w:r>
      <w:r w:rsidR="00EC71D9" w:rsidRPr="00F34050">
        <w:t xml:space="preserve">αι για λόγους προστασίας της δημόσιας υγείας του ά. 36 ΣΛΕΕ, η απάντηση είναι αρνητική, αφού </w:t>
      </w:r>
      <w:proofErr w:type="spellStart"/>
      <w:r w:rsidR="00EC71D9" w:rsidRPr="00F34050">
        <w:rPr>
          <w:lang w:val="en-US"/>
        </w:rPr>
        <w:t>i</w:t>
      </w:r>
      <w:proofErr w:type="spellEnd"/>
      <w:r w:rsidR="00EC71D9" w:rsidRPr="00F34050">
        <w:t xml:space="preserve">. το μέτρο  κάνει αυθαίρετη διάκριση </w:t>
      </w:r>
      <w:r w:rsidR="00C4584F" w:rsidRPr="00F34050">
        <w:t xml:space="preserve">(ά. 36, β΄ ΣΛΕΕ) </w:t>
      </w:r>
      <w:r w:rsidR="00EC71D9" w:rsidRPr="00F34050">
        <w:t xml:space="preserve">επειδή οι πρόσθετες ουσίες επιτρέπονται κατά το </w:t>
      </w:r>
      <w:r w:rsidR="00EC71D9" w:rsidRPr="00F34050">
        <w:lastRenderedPageBreak/>
        <w:t xml:space="preserve">ελληνικό δίκαιο, άρα δεν θέτουν σε κίνδυνο την </w:t>
      </w:r>
      <w:r w:rsidR="00C4584F" w:rsidRPr="00F34050">
        <w:t xml:space="preserve">δημόσια </w:t>
      </w:r>
      <w:r w:rsidR="00EC71D9" w:rsidRPr="00F34050">
        <w:t>υγεία</w:t>
      </w:r>
      <w:r w:rsidR="00B86F9C" w:rsidRPr="00F34050">
        <w:t xml:space="preserve">. </w:t>
      </w:r>
      <w:r w:rsidR="00B86F9C" w:rsidRPr="00F34050">
        <w:rPr>
          <w:bCs/>
        </w:rPr>
        <w:t>και αυτός ο ισχυρισμός του</w:t>
      </w:r>
      <w:r w:rsidR="00B86F9C" w:rsidRPr="00F34050">
        <w:rPr>
          <w:b/>
        </w:rPr>
        <w:t xml:space="preserve"> </w:t>
      </w:r>
      <w:r w:rsidR="00B86F9C" w:rsidRPr="00F34050">
        <w:rPr>
          <w:rFonts w:eastAsiaTheme="minorEastAsia"/>
          <w:kern w:val="24"/>
          <w:lang w:eastAsia="el-GR"/>
        </w:rPr>
        <w:t xml:space="preserve">«Γαλλικού Συμβουλίου Προώθησης Κρέατος» θα απορριφθεί. </w:t>
      </w:r>
    </w:p>
    <w:p w14:paraId="2E18399E" w14:textId="72673677" w:rsidR="00972FF3" w:rsidRPr="00F34050" w:rsidRDefault="00972FF3" w:rsidP="00DC7A04">
      <w:pPr>
        <w:spacing w:line="360" w:lineRule="auto"/>
        <w:contextualSpacing/>
        <w:jc w:val="both"/>
        <w:rPr>
          <w:bCs/>
        </w:rPr>
      </w:pPr>
    </w:p>
    <w:p w14:paraId="0A9FD5AC" w14:textId="4216A453" w:rsidR="00474725" w:rsidRPr="00F34050" w:rsidRDefault="0058736B" w:rsidP="00DC7A04">
      <w:pPr>
        <w:spacing w:line="360" w:lineRule="auto"/>
        <w:contextualSpacing/>
        <w:jc w:val="both"/>
        <w:rPr>
          <w:bCs/>
          <w:i/>
          <w:iCs/>
        </w:rPr>
      </w:pPr>
      <w:r w:rsidRPr="00F34050">
        <w:rPr>
          <w:b/>
          <w:bCs/>
          <w:i/>
          <w:iCs/>
        </w:rPr>
        <w:t>δ)</w:t>
      </w:r>
      <w:r w:rsidR="004B0913" w:rsidRPr="00F34050">
        <w:rPr>
          <w:bCs/>
          <w:i/>
          <w:iCs/>
        </w:rPr>
        <w:t xml:space="preserve"> </w:t>
      </w:r>
      <w:r w:rsidR="002734E1" w:rsidRPr="00F34050">
        <w:rPr>
          <w:bCs/>
          <w:i/>
          <w:iCs/>
        </w:rPr>
        <w:t>«</w:t>
      </w:r>
      <w:r w:rsidR="004B0913" w:rsidRPr="00F34050">
        <w:rPr>
          <w:bCs/>
          <w:i/>
          <w:iCs/>
        </w:rPr>
        <w:t xml:space="preserve">τα </w:t>
      </w:r>
      <w:proofErr w:type="spellStart"/>
      <w:r w:rsidR="004B0913" w:rsidRPr="00F34050">
        <w:rPr>
          <w:bCs/>
          <w:i/>
          <w:iCs/>
        </w:rPr>
        <w:t>προσυσκευασμένα</w:t>
      </w:r>
      <w:proofErr w:type="spellEnd"/>
      <w:r w:rsidR="004B0913" w:rsidRPr="00F34050">
        <w:rPr>
          <w:bCs/>
          <w:i/>
          <w:iCs/>
        </w:rPr>
        <w:t xml:space="preserve"> κομμάτια κρέατος δεν συμβαδίζουν με τα γαλλικά πρότυπα για την προστασία των καταναλωτών όσον αφορά το βάρος</w:t>
      </w:r>
      <w:r w:rsidR="002734E1" w:rsidRPr="00F34050">
        <w:rPr>
          <w:bCs/>
          <w:i/>
          <w:iCs/>
        </w:rPr>
        <w:t>»</w:t>
      </w:r>
    </w:p>
    <w:p w14:paraId="6C072901" w14:textId="67948F14" w:rsidR="009869A0" w:rsidRPr="00F34050" w:rsidRDefault="00D75C64" w:rsidP="00DC7A04">
      <w:pPr>
        <w:spacing w:line="360" w:lineRule="auto"/>
        <w:contextualSpacing/>
        <w:jc w:val="both"/>
        <w:rPr>
          <w:rFonts w:eastAsiaTheme="minorEastAsia"/>
          <w:kern w:val="24"/>
          <w:lang w:eastAsia="el-GR"/>
        </w:rPr>
      </w:pPr>
      <w:r w:rsidRPr="00F34050">
        <w:rPr>
          <w:bCs/>
        </w:rPr>
        <w:t xml:space="preserve">Πρόκειται, κατά τα παραπάνω, για ΜΙΑΠΠ (εφαρμόζεται χωρίς διάκριση) που παραβιάζει το ά. 34 ΣΛΕΕ. Η προστασία των καταναλωτών αποτελεί, σύμφωνα με τον κανόνα της δικαιολόγησης που διατύπωσε το ΔΕΚ στην υπόθεση </w:t>
      </w:r>
      <w:r w:rsidRPr="00F34050">
        <w:rPr>
          <w:bCs/>
          <w:lang w:val="en-US"/>
        </w:rPr>
        <w:t>Cassis</w:t>
      </w:r>
      <w:r w:rsidRPr="00F34050">
        <w:rPr>
          <w:bCs/>
        </w:rPr>
        <w:t xml:space="preserve"> </w:t>
      </w:r>
      <w:r w:rsidRPr="00F34050">
        <w:rPr>
          <w:bCs/>
          <w:lang w:val="en-US"/>
        </w:rPr>
        <w:t>de</w:t>
      </w:r>
      <w:r w:rsidRPr="00F34050">
        <w:rPr>
          <w:bCs/>
        </w:rPr>
        <w:t xml:space="preserve"> </w:t>
      </w:r>
      <w:r w:rsidRPr="00F34050">
        <w:rPr>
          <w:bCs/>
          <w:lang w:val="en-US"/>
        </w:rPr>
        <w:t>Dijon</w:t>
      </w:r>
      <w:r w:rsidRPr="00F34050">
        <w:rPr>
          <w:bCs/>
        </w:rPr>
        <w:t>, λόγο επιτακτικού δημοσίου συμφέροντος</w:t>
      </w:r>
      <w:r w:rsidR="005D6AA4" w:rsidRPr="00F34050">
        <w:t xml:space="preserve"> (2</w:t>
      </w:r>
      <w:r w:rsidR="005D6AA4" w:rsidRPr="00F34050">
        <w:rPr>
          <w:vertAlign w:val="superscript"/>
        </w:rPr>
        <w:t>η</w:t>
      </w:r>
      <w:r w:rsidR="005D6AA4" w:rsidRPr="00F34050">
        <w:t xml:space="preserve"> επικουρική κατηγορία εξαιρέσεων, προστασία καταναλωτών). Το μέτρο</w:t>
      </w:r>
      <w:r w:rsidR="00C4584F" w:rsidRPr="00F34050">
        <w:t>, ωστόσο,</w:t>
      </w:r>
      <w:r w:rsidR="005D6AA4" w:rsidRPr="00F34050">
        <w:t xml:space="preserve"> δεν θεωρείται αναγκαίο για την προστασία των καταναλωτών, αφού η προστασία των καταναλωτών </w:t>
      </w:r>
      <w:bookmarkStart w:id="1" w:name="_Hlk106622495"/>
      <w:r w:rsidR="005D6AA4" w:rsidRPr="00F34050">
        <w:t>θα μπορούσε να εξασφαλισθεί εξίσου, αν όχι σε υψηλότερο βαθμό, με την τοποθέτηση κατάλληλης ετικέτας Άρα, τ</w:t>
      </w:r>
      <w:r w:rsidR="00C4584F" w:rsidRPr="00F34050">
        <w:t xml:space="preserve">ο μέτρο δεν πληροί την αρχή της αναλογικότητας επομένως </w:t>
      </w:r>
      <w:r w:rsidR="005D6AA4" w:rsidRPr="00F34050">
        <w:t>δεν αιτιολογείται και παραβιάζει το δίκαιο της Ε.Ε.</w:t>
      </w:r>
      <w:r w:rsidR="00BA33DB" w:rsidRPr="00F34050">
        <w:t xml:space="preserve"> </w:t>
      </w:r>
      <w:r w:rsidR="00DC7A04" w:rsidRPr="00F34050">
        <w:rPr>
          <w:bCs/>
        </w:rPr>
        <w:t>Επομένως, και αυτός ο ισχυρισμός του</w:t>
      </w:r>
      <w:r w:rsidR="00DC7A04" w:rsidRPr="00F34050">
        <w:rPr>
          <w:b/>
        </w:rPr>
        <w:t xml:space="preserve"> </w:t>
      </w:r>
      <w:r w:rsidR="00DC7A04" w:rsidRPr="00F34050">
        <w:rPr>
          <w:rFonts w:eastAsiaTheme="minorEastAsia"/>
          <w:kern w:val="24"/>
          <w:lang w:eastAsia="el-GR"/>
        </w:rPr>
        <w:t xml:space="preserve">«Γαλλικού Συμβουλίου Προώθησης Κρέατος» θα απορριφθεί. </w:t>
      </w:r>
    </w:p>
    <w:bookmarkEnd w:id="1"/>
    <w:p w14:paraId="54AC67C4" w14:textId="77777777" w:rsidR="009869A0" w:rsidRPr="00F34050" w:rsidRDefault="009869A0" w:rsidP="00DC7A04">
      <w:pPr>
        <w:spacing w:line="360" w:lineRule="auto"/>
        <w:contextualSpacing/>
        <w:jc w:val="both"/>
        <w:rPr>
          <w:rFonts w:eastAsia="Times New Roman"/>
          <w:lang w:eastAsia="el-GR"/>
        </w:rPr>
      </w:pPr>
    </w:p>
    <w:p w14:paraId="1F6B85FC" w14:textId="6789265B" w:rsidR="00474725" w:rsidRPr="00F34050" w:rsidRDefault="004B0913" w:rsidP="00DC7A04">
      <w:pPr>
        <w:spacing w:line="360" w:lineRule="auto"/>
        <w:contextualSpacing/>
        <w:jc w:val="both"/>
        <w:rPr>
          <w:bCs/>
          <w:i/>
        </w:rPr>
      </w:pPr>
      <w:r w:rsidRPr="00F34050">
        <w:rPr>
          <w:i/>
        </w:rPr>
        <w:t>ε)</w:t>
      </w:r>
      <w:r w:rsidR="00BB060B" w:rsidRPr="00F34050">
        <w:rPr>
          <w:bCs/>
          <w:i/>
        </w:rPr>
        <w:t xml:space="preserve"> </w:t>
      </w:r>
      <w:r w:rsidR="002734E1" w:rsidRPr="00F34050">
        <w:rPr>
          <w:bCs/>
          <w:i/>
        </w:rPr>
        <w:t>«</w:t>
      </w:r>
      <w:r w:rsidR="00BB060B" w:rsidRPr="00F34050">
        <w:rPr>
          <w:bCs/>
          <w:i/>
        </w:rPr>
        <w:t>η πώληση του κρέατος μέσω διαδικτύου είναι αντίθετη με το γαλλικό δίκαιο</w:t>
      </w:r>
      <w:r w:rsidR="002734E1" w:rsidRPr="00F34050">
        <w:rPr>
          <w:bCs/>
          <w:i/>
        </w:rPr>
        <w:t>»</w:t>
      </w:r>
    </w:p>
    <w:p w14:paraId="3BEBB07A" w14:textId="2C49D4E3" w:rsidR="003E424D" w:rsidRPr="00F34050" w:rsidRDefault="00027C7F" w:rsidP="00DC7A04">
      <w:pPr>
        <w:spacing w:before="200" w:line="360" w:lineRule="auto"/>
        <w:contextualSpacing/>
        <w:jc w:val="both"/>
        <w:rPr>
          <w:rFonts w:eastAsiaTheme="minorEastAsia"/>
          <w:kern w:val="24"/>
          <w:lang w:eastAsia="el-GR"/>
        </w:rPr>
      </w:pPr>
      <w:r w:rsidRPr="00F34050">
        <w:rPr>
          <w:rFonts w:eastAsiaTheme="minorEastAsia"/>
          <w:kern w:val="24"/>
          <w:lang w:eastAsia="el-GR"/>
        </w:rPr>
        <w:t xml:space="preserve">Κατά την απόφαση του ΔΕΚ στην υπόθεση </w:t>
      </w:r>
      <w:r w:rsidR="003E424D" w:rsidRPr="00F34050">
        <w:rPr>
          <w:rFonts w:eastAsiaTheme="minorEastAsia"/>
          <w:kern w:val="24"/>
          <w:lang w:val="en-US" w:eastAsia="el-GR"/>
        </w:rPr>
        <w:t>C</w:t>
      </w:r>
      <w:r w:rsidR="003E424D" w:rsidRPr="00F34050">
        <w:rPr>
          <w:rFonts w:eastAsiaTheme="minorEastAsia"/>
          <w:kern w:val="24"/>
          <w:lang w:eastAsia="el-GR"/>
        </w:rPr>
        <w:t>-267,268/91,</w:t>
      </w:r>
      <w:r w:rsidR="003E424D" w:rsidRPr="00F34050">
        <w:rPr>
          <w:rFonts w:eastAsiaTheme="minorEastAsia"/>
          <w:b/>
          <w:bCs/>
          <w:i/>
          <w:iCs/>
          <w:kern w:val="24"/>
          <w:lang w:eastAsia="el-GR"/>
        </w:rPr>
        <w:t xml:space="preserve"> </w:t>
      </w:r>
      <w:r w:rsidR="003E424D" w:rsidRPr="00F34050">
        <w:rPr>
          <w:rFonts w:eastAsiaTheme="minorEastAsia"/>
          <w:i/>
          <w:iCs/>
          <w:kern w:val="24"/>
          <w:lang w:val="en-US" w:eastAsia="el-GR"/>
        </w:rPr>
        <w:t>Keck</w:t>
      </w:r>
      <w:r w:rsidR="003E424D" w:rsidRPr="00F34050">
        <w:rPr>
          <w:rFonts w:eastAsiaTheme="minorEastAsia"/>
          <w:i/>
          <w:iCs/>
          <w:kern w:val="24"/>
          <w:lang w:eastAsia="el-GR"/>
        </w:rPr>
        <w:t xml:space="preserve"> </w:t>
      </w:r>
      <w:r w:rsidR="003E424D" w:rsidRPr="00F34050">
        <w:rPr>
          <w:rFonts w:eastAsiaTheme="minorEastAsia"/>
          <w:kern w:val="24"/>
          <w:lang w:eastAsia="el-GR"/>
        </w:rPr>
        <w:t>(1993)</w:t>
      </w:r>
      <w:r w:rsidRPr="00F34050">
        <w:rPr>
          <w:rFonts w:eastAsiaTheme="minorEastAsia"/>
          <w:kern w:val="24"/>
          <w:lang w:eastAsia="el-GR"/>
        </w:rPr>
        <w:t xml:space="preserve"> πρέπει να γίνεται διά</w:t>
      </w:r>
      <w:r w:rsidR="003E424D" w:rsidRPr="00F34050">
        <w:rPr>
          <w:rFonts w:eastAsiaTheme="minorEastAsia"/>
          <w:kern w:val="24"/>
          <w:lang w:eastAsia="el-GR"/>
        </w:rPr>
        <w:t>κριση μεταξύ:</w:t>
      </w:r>
      <w:r w:rsidR="00BA33DB" w:rsidRPr="00F34050">
        <w:rPr>
          <w:rFonts w:eastAsiaTheme="minorEastAsia"/>
          <w:kern w:val="24"/>
          <w:lang w:eastAsia="el-GR"/>
        </w:rPr>
        <w:t xml:space="preserve"> </w:t>
      </w:r>
      <w:r w:rsidR="003E424D" w:rsidRPr="00F34050">
        <w:rPr>
          <w:rFonts w:eastAsiaTheme="minorEastAsia"/>
          <w:kern w:val="24"/>
          <w:lang w:eastAsia="el-GR"/>
        </w:rPr>
        <w:t xml:space="preserve">ενός μέτρου που αφορά τα </w:t>
      </w:r>
      <w:r w:rsidR="003E424D" w:rsidRPr="00F34050">
        <w:rPr>
          <w:rFonts w:eastAsiaTheme="minorEastAsia"/>
          <w:i/>
          <w:iCs/>
          <w:kern w:val="24"/>
          <w:lang w:eastAsia="el-GR"/>
        </w:rPr>
        <w:t>τεχνικά στοιχεία</w:t>
      </w:r>
      <w:r w:rsidR="00B86F9C" w:rsidRPr="00F34050">
        <w:rPr>
          <w:rFonts w:eastAsiaTheme="minorEastAsia"/>
          <w:kern w:val="24"/>
          <w:lang w:eastAsia="el-GR"/>
        </w:rPr>
        <w:t xml:space="preserve"> </w:t>
      </w:r>
      <w:r w:rsidR="003E424D" w:rsidRPr="00F34050">
        <w:rPr>
          <w:rFonts w:eastAsiaTheme="minorEastAsia"/>
          <w:kern w:val="24"/>
          <w:lang w:eastAsia="el-GR"/>
        </w:rPr>
        <w:t xml:space="preserve">ενός προϊόντος (μέγεθος, βάρος, σύνθεση, ετικέτα = παράβαση του </w:t>
      </w:r>
      <w:proofErr w:type="spellStart"/>
      <w:r w:rsidR="003E424D" w:rsidRPr="00F34050">
        <w:rPr>
          <w:rFonts w:eastAsiaTheme="minorEastAsia"/>
          <w:kern w:val="24"/>
          <w:lang w:eastAsia="el-GR"/>
        </w:rPr>
        <w:t>ενωσιακού</w:t>
      </w:r>
      <w:proofErr w:type="spellEnd"/>
      <w:r w:rsidR="003E424D" w:rsidRPr="00F34050">
        <w:rPr>
          <w:rFonts w:eastAsiaTheme="minorEastAsia"/>
          <w:kern w:val="24"/>
          <w:lang w:eastAsia="el-GR"/>
        </w:rPr>
        <w:t xml:space="preserve"> δικαίου</w:t>
      </w:r>
      <w:r w:rsidRPr="00F34050">
        <w:rPr>
          <w:rFonts w:eastAsiaTheme="minorEastAsia"/>
          <w:kern w:val="24"/>
          <w:lang w:eastAsia="el-GR"/>
        </w:rPr>
        <w:t xml:space="preserve">) </w:t>
      </w:r>
      <w:r w:rsidR="003E424D" w:rsidRPr="00F34050">
        <w:rPr>
          <w:rFonts w:eastAsiaTheme="minorEastAsia"/>
          <w:kern w:val="24"/>
          <w:lang w:eastAsia="el-GR"/>
        </w:rPr>
        <w:t xml:space="preserve">και μέτρου που αφορά απλώς τους όρους πώλησης ενός προϊόντος (=όχι παράβαση του </w:t>
      </w:r>
      <w:proofErr w:type="spellStart"/>
      <w:r w:rsidR="003E424D" w:rsidRPr="00F34050">
        <w:rPr>
          <w:rFonts w:eastAsiaTheme="minorEastAsia"/>
          <w:kern w:val="24"/>
          <w:lang w:eastAsia="el-GR"/>
        </w:rPr>
        <w:t>ενωσιακού</w:t>
      </w:r>
      <w:proofErr w:type="spellEnd"/>
      <w:r w:rsidR="003E424D" w:rsidRPr="00F34050">
        <w:rPr>
          <w:rFonts w:eastAsiaTheme="minorEastAsia"/>
          <w:kern w:val="24"/>
          <w:lang w:eastAsia="el-GR"/>
        </w:rPr>
        <w:t xml:space="preserve"> δικαίου)</w:t>
      </w:r>
      <w:r w:rsidRPr="00F34050">
        <w:rPr>
          <w:rFonts w:eastAsiaTheme="minorEastAsia"/>
          <w:kern w:val="24"/>
          <w:lang w:eastAsia="el-GR"/>
        </w:rPr>
        <w:t>.</w:t>
      </w:r>
    </w:p>
    <w:p w14:paraId="139165F3" w14:textId="7B27FE01" w:rsidR="003E424D" w:rsidRPr="00F34050" w:rsidRDefault="00027C7F" w:rsidP="00DC7A04">
      <w:pPr>
        <w:spacing w:line="360" w:lineRule="auto"/>
        <w:contextualSpacing/>
        <w:jc w:val="both"/>
      </w:pPr>
      <w:r w:rsidRPr="00F34050">
        <w:rPr>
          <w:rFonts w:eastAsiaTheme="minorEastAsia"/>
          <w:kern w:val="24"/>
          <w:lang w:eastAsia="el-GR"/>
        </w:rPr>
        <w:t xml:space="preserve">Έτσι, </w:t>
      </w:r>
      <w:r w:rsidR="003E424D" w:rsidRPr="00F34050">
        <w:rPr>
          <w:rFonts w:eastAsiaTheme="minorEastAsia"/>
          <w:kern w:val="24"/>
          <w:lang w:eastAsia="el-GR"/>
        </w:rPr>
        <w:t xml:space="preserve">τα εθνικά μέτρα που αφορούν απλώς «όρους πώλησης» </w:t>
      </w:r>
      <w:r w:rsidRPr="00F34050">
        <w:rPr>
          <w:rFonts w:eastAsiaTheme="minorEastAsia"/>
          <w:kern w:val="24"/>
          <w:lang w:eastAsia="el-GR"/>
        </w:rPr>
        <w:t xml:space="preserve">(πότε, πώς, πού) </w:t>
      </w:r>
      <w:r w:rsidR="003E424D" w:rsidRPr="00F34050">
        <w:rPr>
          <w:rFonts w:eastAsiaTheme="minorEastAsia"/>
          <w:kern w:val="24"/>
          <w:lang w:eastAsia="el-GR"/>
        </w:rPr>
        <w:t xml:space="preserve">δεν συνιστούν κανονικά  ΜΙΑΠΠ κατά την έννοια της </w:t>
      </w:r>
      <w:proofErr w:type="spellStart"/>
      <w:r w:rsidR="003E424D" w:rsidRPr="00F34050">
        <w:rPr>
          <w:rFonts w:eastAsiaTheme="minorEastAsia"/>
          <w:kern w:val="24"/>
          <w:lang w:val="en-US" w:eastAsia="el-GR"/>
        </w:rPr>
        <w:t>Dassonville</w:t>
      </w:r>
      <w:proofErr w:type="spellEnd"/>
      <w:r w:rsidR="003E424D" w:rsidRPr="00F34050">
        <w:rPr>
          <w:rFonts w:eastAsiaTheme="minorEastAsia"/>
          <w:kern w:val="24"/>
          <w:lang w:eastAsia="el-GR"/>
        </w:rPr>
        <w:t xml:space="preserve"> και δεν θα εμπίπτουν κανονικά στο ά. 34 ΣΛΕΕ.Ο λόγος είναι ότι οι όροι πώλησης δεν έχουν στόχο να ρυθμίσουν το εμπόριο μεταξύ των κ-μ κατά κανένα τρόπο εφόσον α. εφαρμόζονται αδιακρίτως και</w:t>
      </w:r>
      <w:r w:rsidRPr="00F34050">
        <w:rPr>
          <w:rFonts w:eastAsiaTheme="minorEastAsia"/>
          <w:kern w:val="24"/>
          <w:lang w:eastAsia="el-GR"/>
        </w:rPr>
        <w:t xml:space="preserve"> </w:t>
      </w:r>
      <w:r w:rsidR="003E424D" w:rsidRPr="00F34050">
        <w:rPr>
          <w:rFonts w:eastAsiaTheme="minorEastAsia"/>
          <w:kern w:val="24"/>
          <w:lang w:eastAsia="el-GR"/>
        </w:rPr>
        <w:t xml:space="preserve">β. επηρεάζουν  κατά τον ίδιο τρόπο, και νομικά και πραγματικά, την εμπορία των εγχώριων προϊόντων και των προϊόντων προέλευσης άλλων </w:t>
      </w:r>
      <w:r w:rsidR="00B86F9C" w:rsidRPr="00F34050">
        <w:rPr>
          <w:rFonts w:eastAsiaTheme="minorEastAsia"/>
          <w:kern w:val="24"/>
          <w:lang w:eastAsia="el-GR"/>
        </w:rPr>
        <w:t xml:space="preserve">Κρατών – μελών. </w:t>
      </w:r>
    </w:p>
    <w:p w14:paraId="450E382E" w14:textId="68229BE6" w:rsidR="00474725" w:rsidRPr="00F34050" w:rsidRDefault="00474725" w:rsidP="00DC7A04">
      <w:pPr>
        <w:tabs>
          <w:tab w:val="left" w:pos="567"/>
        </w:tabs>
        <w:spacing w:before="86" w:after="200" w:line="360" w:lineRule="auto"/>
        <w:contextualSpacing/>
        <w:jc w:val="both"/>
        <w:textAlignment w:val="baseline"/>
        <w:rPr>
          <w:rFonts w:eastAsiaTheme="minorEastAsia"/>
          <w:lang w:eastAsia="el-GR"/>
        </w:rPr>
      </w:pPr>
    </w:p>
    <w:p w14:paraId="048F3B33" w14:textId="488D240E" w:rsidR="007C41D5" w:rsidRPr="009E1107" w:rsidRDefault="007C41D5" w:rsidP="00DC7A04">
      <w:pPr>
        <w:tabs>
          <w:tab w:val="left" w:pos="567"/>
        </w:tabs>
        <w:spacing w:line="360" w:lineRule="auto"/>
        <w:contextualSpacing/>
        <w:jc w:val="center"/>
        <w:rPr>
          <w:b/>
          <w:color w:val="C00000"/>
        </w:rPr>
      </w:pPr>
      <w:r w:rsidRPr="009E1107">
        <w:rPr>
          <w:b/>
          <w:color w:val="C00000"/>
        </w:rPr>
        <w:t xml:space="preserve">ΑΣΚΗΣΗ 2 </w:t>
      </w:r>
    </w:p>
    <w:p w14:paraId="5D34D917" w14:textId="77777777" w:rsidR="00C96EC4" w:rsidRPr="00F34050" w:rsidRDefault="00C96EC4" w:rsidP="00C96EC4">
      <w:pPr>
        <w:tabs>
          <w:tab w:val="left" w:pos="567"/>
        </w:tabs>
        <w:spacing w:line="360" w:lineRule="auto"/>
        <w:contextualSpacing/>
        <w:jc w:val="center"/>
        <w:rPr>
          <w:b/>
        </w:rPr>
      </w:pPr>
      <w:r w:rsidRPr="00F34050">
        <w:rPr>
          <w:b/>
          <w:lang w:val="en-US"/>
        </w:rPr>
        <w:t>A</w:t>
      </w:r>
      <w:proofErr w:type="spellStart"/>
      <w:r w:rsidRPr="00F34050">
        <w:rPr>
          <w:b/>
        </w:rPr>
        <w:t>πάντηση</w:t>
      </w:r>
      <w:proofErr w:type="spellEnd"/>
    </w:p>
    <w:p w14:paraId="5D9CA362" w14:textId="53D5D54F" w:rsidR="00C96EC4" w:rsidRPr="00F34050" w:rsidRDefault="00C96EC4" w:rsidP="00C96EC4">
      <w:pPr>
        <w:spacing w:after="100" w:line="360" w:lineRule="auto"/>
        <w:contextualSpacing/>
        <w:jc w:val="both"/>
        <w:rPr>
          <w:rFonts w:eastAsia="Times New Roman"/>
          <w:lang w:eastAsia="el-GR"/>
        </w:rPr>
      </w:pPr>
      <w:r w:rsidRPr="00F34050">
        <w:rPr>
          <w:rFonts w:eastAsia="Times New Roman"/>
          <w:lang w:eastAsia="el-GR"/>
        </w:rPr>
        <w:t xml:space="preserve">1. Ως προς: </w:t>
      </w:r>
    </w:p>
    <w:p w14:paraId="4A06868A" w14:textId="2B59EE66" w:rsidR="007C41D5" w:rsidRPr="00F34050" w:rsidRDefault="00C96EC4" w:rsidP="00DC7A04">
      <w:pPr>
        <w:shd w:val="clear" w:color="auto" w:fill="FFFFFF"/>
        <w:spacing w:line="360" w:lineRule="auto"/>
        <w:contextualSpacing/>
        <w:jc w:val="both"/>
        <w:rPr>
          <w:rFonts w:eastAsia="Times New Roman"/>
          <w:lang w:eastAsia="el-GR"/>
        </w:rPr>
      </w:pPr>
      <w:r w:rsidRPr="00F34050">
        <w:rPr>
          <w:rFonts w:eastAsia="Times New Roman"/>
          <w:b/>
          <w:bCs/>
          <w:lang w:eastAsia="el-GR"/>
        </w:rPr>
        <w:t xml:space="preserve">Α. </w:t>
      </w:r>
      <w:r w:rsidR="007C41D5" w:rsidRPr="00F34050">
        <w:rPr>
          <w:rFonts w:eastAsia="Times New Roman"/>
          <w:b/>
          <w:bCs/>
          <w:lang w:eastAsia="el-GR"/>
        </w:rPr>
        <w:t>Τα δικαιώματα εισόδου και διαμονής της Μαρίας</w:t>
      </w:r>
      <w:r w:rsidRPr="00F34050">
        <w:rPr>
          <w:rFonts w:eastAsia="Times New Roman"/>
          <w:b/>
          <w:bCs/>
          <w:lang w:eastAsia="el-GR"/>
        </w:rPr>
        <w:t>:</w:t>
      </w:r>
    </w:p>
    <w:p w14:paraId="31F90743" w14:textId="7194FA72" w:rsidR="00C96EC4" w:rsidRPr="00F34050" w:rsidRDefault="00C96EC4" w:rsidP="00C96EC4">
      <w:pPr>
        <w:shd w:val="clear" w:color="auto" w:fill="FFFFFF"/>
        <w:spacing w:line="360" w:lineRule="auto"/>
        <w:contextualSpacing/>
        <w:jc w:val="both"/>
        <w:rPr>
          <w:rFonts w:eastAsia="Times New Roman"/>
          <w:lang w:eastAsia="el-GR"/>
        </w:rPr>
      </w:pPr>
      <w:r w:rsidRPr="00F34050">
        <w:rPr>
          <w:rFonts w:eastAsia="Times New Roman"/>
          <w:u w:val="single"/>
          <w:lang w:eastAsia="el-GR"/>
        </w:rPr>
        <w:lastRenderedPageBreak/>
        <w:t xml:space="preserve">Α1. </w:t>
      </w:r>
      <w:r w:rsidR="007C41D5" w:rsidRPr="00F34050">
        <w:rPr>
          <w:rFonts w:eastAsia="Times New Roman"/>
          <w:u w:val="single"/>
          <w:lang w:eastAsia="el-GR"/>
        </w:rPr>
        <w:t xml:space="preserve">Δικαιώματα εισόδου και διαμονής μόνο </w:t>
      </w:r>
      <w:r w:rsidR="00360E4B" w:rsidRPr="00F34050">
        <w:rPr>
          <w:rFonts w:eastAsia="Times New Roman"/>
          <w:u w:val="single"/>
          <w:lang w:eastAsia="el-GR"/>
        </w:rPr>
        <w:t xml:space="preserve">λόγω </w:t>
      </w:r>
      <w:r w:rsidR="007C41D5" w:rsidRPr="00F34050">
        <w:rPr>
          <w:rFonts w:eastAsia="Times New Roman"/>
          <w:u w:val="single"/>
          <w:lang w:eastAsia="el-GR"/>
        </w:rPr>
        <w:t>τη</w:t>
      </w:r>
      <w:r w:rsidR="00360E4B" w:rsidRPr="00F34050">
        <w:rPr>
          <w:rFonts w:eastAsia="Times New Roman"/>
          <w:u w:val="single"/>
          <w:lang w:eastAsia="el-GR"/>
        </w:rPr>
        <w:t>ς</w:t>
      </w:r>
      <w:r w:rsidR="007C41D5" w:rsidRPr="00F34050">
        <w:rPr>
          <w:rFonts w:eastAsia="Times New Roman"/>
          <w:u w:val="single"/>
          <w:lang w:eastAsia="el-GR"/>
        </w:rPr>
        <w:t xml:space="preserve"> ιθαγένεια</w:t>
      </w:r>
      <w:r w:rsidR="00360E4B" w:rsidRPr="00F34050">
        <w:rPr>
          <w:rFonts w:eastAsia="Times New Roman"/>
          <w:u w:val="single"/>
          <w:lang w:eastAsia="el-GR"/>
        </w:rPr>
        <w:t>ς</w:t>
      </w:r>
      <w:r w:rsidR="007C41D5" w:rsidRPr="00F34050">
        <w:rPr>
          <w:rFonts w:eastAsia="Times New Roman"/>
          <w:u w:val="single"/>
          <w:lang w:eastAsia="el-GR"/>
        </w:rPr>
        <w:t xml:space="preserve"> της Ένωσης</w:t>
      </w:r>
    </w:p>
    <w:p w14:paraId="5E182CC8" w14:textId="081C365E" w:rsidR="007C41D5" w:rsidRPr="00F34050" w:rsidRDefault="007C41D5" w:rsidP="00C96EC4">
      <w:pPr>
        <w:shd w:val="clear" w:color="auto" w:fill="FFFFFF"/>
        <w:spacing w:line="360" w:lineRule="auto"/>
        <w:contextualSpacing/>
        <w:jc w:val="both"/>
        <w:rPr>
          <w:rFonts w:eastAsia="Times New Roman"/>
          <w:lang w:eastAsia="el-GR"/>
        </w:rPr>
      </w:pPr>
      <w:r w:rsidRPr="00F34050">
        <w:rPr>
          <w:rFonts w:eastAsia="Times New Roman"/>
          <w:lang w:eastAsia="el-GR"/>
        </w:rPr>
        <w:t>Η Μαρία, ως Ελληνίδα υπήκοος, είναι υπήκοος κράτους μέλους και ως εκ τούτου είναι πολίτης της Ένωσης (ά</w:t>
      </w:r>
      <w:r w:rsidR="00360E4B" w:rsidRPr="00F34050">
        <w:rPr>
          <w:rFonts w:eastAsia="Times New Roman"/>
          <w:lang w:eastAsia="el-GR"/>
        </w:rPr>
        <w:t>.</w:t>
      </w:r>
      <w:r w:rsidRPr="00F34050">
        <w:rPr>
          <w:rFonts w:eastAsia="Times New Roman"/>
          <w:lang w:eastAsia="el-GR"/>
        </w:rPr>
        <w:t xml:space="preserve"> 20 ΣΛΕΕ).</w:t>
      </w:r>
      <w:r w:rsidR="00C96EC4" w:rsidRPr="00F34050">
        <w:rPr>
          <w:rFonts w:eastAsia="Times New Roman"/>
          <w:lang w:eastAsia="el-GR"/>
        </w:rPr>
        <w:t xml:space="preserve"> </w:t>
      </w:r>
      <w:r w:rsidRPr="00F34050">
        <w:rPr>
          <w:rFonts w:eastAsia="Times New Roman"/>
          <w:lang w:eastAsia="el-GR"/>
        </w:rPr>
        <w:t>Το ά</w:t>
      </w:r>
      <w:r w:rsidR="00360E4B" w:rsidRPr="00F34050">
        <w:rPr>
          <w:rFonts w:eastAsia="Times New Roman"/>
          <w:lang w:eastAsia="el-GR"/>
        </w:rPr>
        <w:t>.</w:t>
      </w:r>
      <w:r w:rsidRPr="00F34050">
        <w:rPr>
          <w:rFonts w:eastAsia="Times New Roman"/>
          <w:lang w:eastAsia="el-GR"/>
        </w:rPr>
        <w:t xml:space="preserve"> 21 της ΣΛΕΕ αναγνωρίζει το δικαίωμα ελεύθερης κυκλοφορίας και διαμονής στο έδαφος των </w:t>
      </w:r>
      <w:r w:rsidR="00B86F9C" w:rsidRPr="00F34050">
        <w:rPr>
          <w:rFonts w:eastAsia="Times New Roman"/>
          <w:lang w:eastAsia="el-GR"/>
        </w:rPr>
        <w:t>Κ</w:t>
      </w:r>
      <w:r w:rsidRPr="00F34050">
        <w:rPr>
          <w:rFonts w:eastAsia="Times New Roman"/>
          <w:lang w:eastAsia="el-GR"/>
        </w:rPr>
        <w:t>ρατών</w:t>
      </w:r>
      <w:r w:rsidR="00B86F9C" w:rsidRPr="00F34050">
        <w:rPr>
          <w:rFonts w:eastAsia="Times New Roman"/>
          <w:lang w:eastAsia="el-GR"/>
        </w:rPr>
        <w:t>-</w:t>
      </w:r>
      <w:r w:rsidRPr="00F34050">
        <w:rPr>
          <w:rFonts w:eastAsia="Times New Roman"/>
          <w:lang w:eastAsia="el-GR"/>
        </w:rPr>
        <w:t xml:space="preserve">μελών σε όλους τους πολίτες της Ένωσης </w:t>
      </w:r>
      <w:r w:rsidRPr="00F34050">
        <w:rPr>
          <w:rFonts w:eastAsia="Times New Roman"/>
          <w:i/>
          <w:iCs/>
          <w:lang w:eastAsia="el-GR"/>
        </w:rPr>
        <w:t>«υπό περιορισμούς και προϋποθέσεις</w:t>
      </w:r>
      <w:r w:rsidRPr="00F34050">
        <w:rPr>
          <w:rFonts w:eastAsia="Times New Roman"/>
          <w:lang w:eastAsia="el-GR"/>
        </w:rPr>
        <w:t>».</w:t>
      </w:r>
      <w:r w:rsidR="00C96EC4" w:rsidRPr="00F34050">
        <w:rPr>
          <w:rFonts w:eastAsia="Times New Roman"/>
          <w:lang w:eastAsia="el-GR"/>
        </w:rPr>
        <w:t xml:space="preserve"> </w:t>
      </w:r>
      <w:r w:rsidRPr="00F34050">
        <w:rPr>
          <w:rFonts w:eastAsia="Times New Roman"/>
          <w:lang w:eastAsia="el-GR"/>
        </w:rPr>
        <w:t xml:space="preserve">Το πεδίο εφαρμογής των δικαιωμάτων του </w:t>
      </w:r>
      <w:r w:rsidR="00360E4B" w:rsidRPr="00F34050">
        <w:rPr>
          <w:rFonts w:eastAsia="Times New Roman"/>
          <w:lang w:eastAsia="el-GR"/>
        </w:rPr>
        <w:t>ά.</w:t>
      </w:r>
      <w:r w:rsidRPr="00F34050">
        <w:rPr>
          <w:rFonts w:eastAsia="Times New Roman"/>
          <w:lang w:eastAsia="el-GR"/>
        </w:rPr>
        <w:t xml:space="preserve"> 21 ορίζεται στο παράγωγο δίκαιο, την </w:t>
      </w:r>
      <w:r w:rsidR="00B86F9C" w:rsidRPr="00F34050">
        <w:rPr>
          <w:rFonts w:eastAsia="Times New Roman"/>
          <w:lang w:eastAsia="el-GR"/>
        </w:rPr>
        <w:t>Ο</w:t>
      </w:r>
      <w:r w:rsidRPr="00F34050">
        <w:rPr>
          <w:rFonts w:eastAsia="Times New Roman"/>
          <w:lang w:eastAsia="el-GR"/>
        </w:rPr>
        <w:t xml:space="preserve">δηγία 2004/38. Η </w:t>
      </w:r>
      <w:r w:rsidR="00B86F9C" w:rsidRPr="00F34050">
        <w:rPr>
          <w:rFonts w:eastAsia="Times New Roman"/>
          <w:lang w:eastAsia="el-GR"/>
        </w:rPr>
        <w:t>Ο</w:t>
      </w:r>
      <w:r w:rsidRPr="00F34050">
        <w:rPr>
          <w:rFonts w:eastAsia="Times New Roman"/>
          <w:lang w:eastAsia="el-GR"/>
        </w:rPr>
        <w:t>δηγία παρέχει σε όλους τους πολίτες της Ένωσης δικαιώματα εισόδου και διαμονής έως και τρεις μήνες, χωρίς διατυπώσεις ή όρους (</w:t>
      </w:r>
      <w:r w:rsidR="00360E4B" w:rsidRPr="00F34050">
        <w:rPr>
          <w:rFonts w:eastAsia="Times New Roman"/>
          <w:lang w:eastAsia="el-GR"/>
        </w:rPr>
        <w:t>ά.</w:t>
      </w:r>
      <w:r w:rsidRPr="00F34050">
        <w:rPr>
          <w:rFonts w:eastAsia="Times New Roman"/>
          <w:lang w:eastAsia="el-GR"/>
        </w:rPr>
        <w:t xml:space="preserve"> 6). Η Μαρία έχει ήδη ασκήσει το δικαίωμα εισόδου της στην Ι</w:t>
      </w:r>
      <w:r w:rsidR="00BB5B3C" w:rsidRPr="00F34050">
        <w:rPr>
          <w:rFonts w:eastAsia="Times New Roman"/>
          <w:lang w:eastAsia="el-GR"/>
        </w:rPr>
        <w:t>ταλία</w:t>
      </w:r>
      <w:r w:rsidRPr="00F34050">
        <w:rPr>
          <w:rFonts w:eastAsia="Times New Roman"/>
          <w:lang w:eastAsia="el-GR"/>
        </w:rPr>
        <w:t xml:space="preserve"> και έχει ζήσει στη </w:t>
      </w:r>
      <w:r w:rsidR="00BB5B3C" w:rsidRPr="00F34050">
        <w:rPr>
          <w:rFonts w:eastAsia="Times New Roman"/>
          <w:lang w:eastAsia="el-GR"/>
        </w:rPr>
        <w:t>Ρώμη</w:t>
      </w:r>
      <w:r w:rsidRPr="00F34050">
        <w:rPr>
          <w:rFonts w:eastAsia="Times New Roman"/>
          <w:lang w:eastAsia="el-GR"/>
        </w:rPr>
        <w:t xml:space="preserve"> τους τελευταίους εννέα μήνες. Το δικαίωμά της να παραμείνει για περισσότερους από τρεις μήνες εξαρτάται από την ιδιότητά της ως εργαζόμενης ή </w:t>
      </w:r>
      <w:r w:rsidR="00B86F9C" w:rsidRPr="00F34050">
        <w:rPr>
          <w:rFonts w:eastAsia="Times New Roman"/>
          <w:lang w:eastAsia="el-GR"/>
        </w:rPr>
        <w:t>ως ατόμου που αναζητά</w:t>
      </w:r>
      <w:r w:rsidRPr="00F34050">
        <w:rPr>
          <w:rFonts w:eastAsia="Times New Roman"/>
          <w:lang w:eastAsia="el-GR"/>
        </w:rPr>
        <w:t xml:space="preserve"> εργασία.</w:t>
      </w:r>
    </w:p>
    <w:p w14:paraId="34107848" w14:textId="77777777" w:rsidR="001F778F" w:rsidRPr="00F34050" w:rsidRDefault="001F778F" w:rsidP="00C96EC4">
      <w:pPr>
        <w:shd w:val="clear" w:color="auto" w:fill="FFFFFF"/>
        <w:spacing w:line="360" w:lineRule="auto"/>
        <w:contextualSpacing/>
        <w:jc w:val="both"/>
        <w:rPr>
          <w:rFonts w:eastAsia="Times New Roman"/>
          <w:lang w:eastAsia="el-GR"/>
        </w:rPr>
      </w:pPr>
    </w:p>
    <w:p w14:paraId="3ADA688F" w14:textId="688FBC17" w:rsidR="001F778F" w:rsidRPr="00F34050" w:rsidRDefault="001F778F" w:rsidP="001F778F">
      <w:pPr>
        <w:shd w:val="clear" w:color="auto" w:fill="FFFFFF"/>
        <w:spacing w:line="360" w:lineRule="auto"/>
        <w:contextualSpacing/>
        <w:jc w:val="both"/>
        <w:rPr>
          <w:rFonts w:eastAsia="Times New Roman"/>
          <w:u w:val="single"/>
          <w:lang w:eastAsia="el-GR"/>
        </w:rPr>
      </w:pPr>
      <w:r w:rsidRPr="00F34050">
        <w:rPr>
          <w:rFonts w:eastAsia="Times New Roman"/>
          <w:u w:val="single"/>
          <w:lang w:val="en-US" w:eastAsia="el-GR"/>
        </w:rPr>
        <w:t>A</w:t>
      </w:r>
      <w:r w:rsidRPr="00F34050">
        <w:rPr>
          <w:rFonts w:eastAsia="Times New Roman"/>
          <w:u w:val="single"/>
          <w:lang w:eastAsia="el-GR"/>
        </w:rPr>
        <w:t xml:space="preserve">2. </w:t>
      </w:r>
      <w:r w:rsidR="007C41D5" w:rsidRPr="00F34050">
        <w:rPr>
          <w:rFonts w:eastAsia="Times New Roman"/>
          <w:u w:val="single"/>
          <w:lang w:eastAsia="el-GR"/>
        </w:rPr>
        <w:t>Δικαιώματα εισόδου και διαμονής ως άτομο που αναζητά εργασί</w:t>
      </w:r>
      <w:r w:rsidRPr="00F34050">
        <w:rPr>
          <w:rFonts w:eastAsia="Times New Roman"/>
          <w:u w:val="single"/>
          <w:lang w:eastAsia="el-GR"/>
        </w:rPr>
        <w:t>α</w:t>
      </w:r>
    </w:p>
    <w:p w14:paraId="6070D52F" w14:textId="1E25D3E1" w:rsidR="007C41D5" w:rsidRPr="00F34050" w:rsidRDefault="007C41D5" w:rsidP="00360E4B">
      <w:pPr>
        <w:shd w:val="clear" w:color="auto" w:fill="FFFFFF"/>
        <w:spacing w:line="360" w:lineRule="auto"/>
        <w:contextualSpacing/>
        <w:jc w:val="both"/>
        <w:rPr>
          <w:rFonts w:eastAsia="Times New Roman"/>
          <w:lang w:eastAsia="el-GR"/>
        </w:rPr>
      </w:pPr>
      <w:r w:rsidRPr="00F34050">
        <w:rPr>
          <w:rFonts w:eastAsia="Times New Roman"/>
          <w:lang w:eastAsia="el-GR"/>
        </w:rPr>
        <w:t>Ως εργ</w:t>
      </w:r>
      <w:r w:rsidR="001F778F" w:rsidRPr="00F34050">
        <w:rPr>
          <w:rFonts w:eastAsia="Times New Roman"/>
          <w:lang w:eastAsia="el-GR"/>
        </w:rPr>
        <w:t>αζόμενη</w:t>
      </w:r>
      <w:r w:rsidRPr="00F34050">
        <w:rPr>
          <w:rFonts w:eastAsia="Times New Roman"/>
          <w:lang w:eastAsia="el-GR"/>
        </w:rPr>
        <w:t>, η Μαρία είχε το δικαίωμα να εισέλθει στην Ιταλία και τώρα μπορεί να διαμείνει εκεί (</w:t>
      </w:r>
      <w:r w:rsidR="00B86F9C" w:rsidRPr="00F34050">
        <w:rPr>
          <w:rFonts w:eastAsia="Times New Roman"/>
          <w:lang w:eastAsia="el-GR"/>
        </w:rPr>
        <w:t>Ο</w:t>
      </w:r>
      <w:r w:rsidRPr="00F34050">
        <w:rPr>
          <w:rFonts w:eastAsia="Times New Roman"/>
          <w:lang w:eastAsia="el-GR"/>
        </w:rPr>
        <w:t xml:space="preserve">δηγία 2004/38, </w:t>
      </w:r>
      <w:r w:rsidR="00360E4B" w:rsidRPr="00F34050">
        <w:rPr>
          <w:rFonts w:eastAsia="Times New Roman"/>
          <w:lang w:eastAsia="el-GR"/>
        </w:rPr>
        <w:t>ά.</w:t>
      </w:r>
      <w:r w:rsidRPr="00F34050">
        <w:rPr>
          <w:rFonts w:eastAsia="Times New Roman"/>
          <w:lang w:eastAsia="el-GR"/>
        </w:rPr>
        <w:t xml:space="preserve"> 14 </w:t>
      </w:r>
      <w:r w:rsidR="00B86F9C" w:rsidRPr="00F34050">
        <w:rPr>
          <w:rFonts w:eastAsia="Times New Roman"/>
          <w:lang w:eastAsia="el-GR"/>
        </w:rPr>
        <w:t>(</w:t>
      </w:r>
      <w:r w:rsidRPr="00F34050">
        <w:rPr>
          <w:rFonts w:eastAsia="Times New Roman"/>
          <w:lang w:eastAsia="el-GR"/>
        </w:rPr>
        <w:t>4</w:t>
      </w:r>
      <w:r w:rsidR="00B86F9C" w:rsidRPr="00F34050">
        <w:rPr>
          <w:rFonts w:eastAsia="Times New Roman"/>
          <w:lang w:eastAsia="el-GR"/>
        </w:rPr>
        <w:t xml:space="preserve">) </w:t>
      </w:r>
      <w:r w:rsidRPr="00F34050">
        <w:rPr>
          <w:rFonts w:eastAsia="Times New Roman"/>
          <w:lang w:eastAsia="el-GR"/>
        </w:rPr>
        <w:t xml:space="preserve"> </w:t>
      </w:r>
      <w:proofErr w:type="spellStart"/>
      <w:r w:rsidRPr="00F34050">
        <w:rPr>
          <w:rFonts w:eastAsia="Times New Roman"/>
          <w:lang w:eastAsia="el-GR"/>
        </w:rPr>
        <w:t>στ</w:t>
      </w:r>
      <w:proofErr w:type="spellEnd"/>
      <w:r w:rsidR="00B86F9C" w:rsidRPr="00F34050">
        <w:rPr>
          <w:rFonts w:eastAsia="Times New Roman"/>
          <w:lang w:eastAsia="el-GR"/>
        </w:rPr>
        <w:t>.</w:t>
      </w:r>
      <w:r w:rsidRPr="00F34050">
        <w:rPr>
          <w:rFonts w:eastAsia="Times New Roman"/>
          <w:lang w:eastAsia="el-GR"/>
        </w:rPr>
        <w:t xml:space="preserve"> β</w:t>
      </w:r>
      <w:r w:rsidR="00B86F9C" w:rsidRPr="00F34050">
        <w:rPr>
          <w:rFonts w:eastAsia="Times New Roman"/>
          <w:lang w:eastAsia="el-GR"/>
        </w:rPr>
        <w:t>΄</w:t>
      </w:r>
      <w:r w:rsidRPr="00F34050">
        <w:rPr>
          <w:rFonts w:eastAsia="Times New Roman"/>
          <w:lang w:eastAsia="el-GR"/>
        </w:rPr>
        <w:t>, </w:t>
      </w:r>
      <w:proofErr w:type="spellStart"/>
      <w:r w:rsidRPr="00F34050">
        <w:rPr>
          <w:rFonts w:eastAsia="Times New Roman"/>
          <w:i/>
          <w:iCs/>
          <w:lang w:eastAsia="el-GR"/>
        </w:rPr>
        <w:t>Royer</w:t>
      </w:r>
      <w:proofErr w:type="spellEnd"/>
      <w:r w:rsidRPr="00F34050">
        <w:rPr>
          <w:rFonts w:eastAsia="Times New Roman"/>
          <w:i/>
          <w:iCs/>
          <w:lang w:eastAsia="el-GR"/>
        </w:rPr>
        <w:t> </w:t>
      </w:r>
      <w:r w:rsidRPr="00F34050">
        <w:rPr>
          <w:rFonts w:eastAsia="Times New Roman"/>
          <w:lang w:eastAsia="el-GR"/>
        </w:rPr>
        <w:t xml:space="preserve">) αλλά όχι απαραίτητα </w:t>
      </w:r>
      <w:proofErr w:type="spellStart"/>
      <w:r w:rsidRPr="00F34050">
        <w:rPr>
          <w:rFonts w:eastAsia="Times New Roman"/>
          <w:lang w:eastAsia="el-GR"/>
        </w:rPr>
        <w:t>επ</w:t>
      </w:r>
      <w:proofErr w:type="spellEnd"/>
      <w:r w:rsidRPr="00F34050">
        <w:rPr>
          <w:rFonts w:eastAsia="Times New Roman"/>
          <w:lang w:eastAsia="el-GR"/>
        </w:rPr>
        <w:t xml:space="preserve"> '</w:t>
      </w:r>
      <w:proofErr w:type="spellStart"/>
      <w:r w:rsidRPr="00F34050">
        <w:rPr>
          <w:rFonts w:eastAsia="Times New Roman"/>
          <w:lang w:eastAsia="el-GR"/>
        </w:rPr>
        <w:t>αόριστον</w:t>
      </w:r>
      <w:proofErr w:type="spellEnd"/>
      <w:r w:rsidRPr="00F34050">
        <w:rPr>
          <w:rFonts w:eastAsia="Times New Roman"/>
          <w:lang w:eastAsia="el-GR"/>
        </w:rPr>
        <w:t>. Πρέπει να συνεχίσει να δείχνει ότι αναζητά πραγματικά εργασία και ότι μπορεί να την βρει (</w:t>
      </w:r>
      <w:r w:rsidR="00B86F9C" w:rsidRPr="00F34050">
        <w:rPr>
          <w:rFonts w:eastAsia="Times New Roman"/>
          <w:lang w:eastAsia="el-GR"/>
        </w:rPr>
        <w:t>Ο</w:t>
      </w:r>
      <w:r w:rsidRPr="00F34050">
        <w:rPr>
          <w:rFonts w:eastAsia="Times New Roman"/>
          <w:lang w:eastAsia="el-GR"/>
        </w:rPr>
        <w:t xml:space="preserve">δηγία 2004/38 </w:t>
      </w:r>
      <w:r w:rsidR="00360E4B" w:rsidRPr="00F34050">
        <w:rPr>
          <w:rFonts w:eastAsia="Times New Roman"/>
          <w:lang w:eastAsia="el-GR"/>
        </w:rPr>
        <w:t>ά.</w:t>
      </w:r>
      <w:r w:rsidRPr="00F34050">
        <w:rPr>
          <w:rFonts w:eastAsia="Times New Roman"/>
          <w:lang w:eastAsia="el-GR"/>
        </w:rPr>
        <w:t xml:space="preserve"> 14 </w:t>
      </w:r>
      <w:r w:rsidR="00B86F9C" w:rsidRPr="00F34050">
        <w:rPr>
          <w:rFonts w:eastAsia="Times New Roman"/>
          <w:lang w:eastAsia="el-GR"/>
        </w:rPr>
        <w:t>(</w:t>
      </w:r>
      <w:r w:rsidRPr="00F34050">
        <w:rPr>
          <w:rFonts w:eastAsia="Times New Roman"/>
          <w:lang w:eastAsia="el-GR"/>
        </w:rPr>
        <w:t>4</w:t>
      </w:r>
      <w:r w:rsidR="00B86F9C" w:rsidRPr="00F34050">
        <w:rPr>
          <w:rFonts w:eastAsia="Times New Roman"/>
          <w:lang w:eastAsia="el-GR"/>
        </w:rPr>
        <w:t xml:space="preserve">) </w:t>
      </w:r>
      <w:r w:rsidRPr="00F34050">
        <w:rPr>
          <w:rFonts w:eastAsia="Times New Roman"/>
          <w:lang w:eastAsia="el-GR"/>
        </w:rPr>
        <w:t xml:space="preserve"> </w:t>
      </w:r>
      <w:proofErr w:type="spellStart"/>
      <w:r w:rsidRPr="00F34050">
        <w:rPr>
          <w:rFonts w:eastAsia="Times New Roman"/>
          <w:lang w:eastAsia="el-GR"/>
        </w:rPr>
        <w:t>στ</w:t>
      </w:r>
      <w:proofErr w:type="spellEnd"/>
      <w:r w:rsidR="00B86F9C" w:rsidRPr="00F34050">
        <w:rPr>
          <w:rFonts w:eastAsia="Times New Roman"/>
          <w:lang w:eastAsia="el-GR"/>
        </w:rPr>
        <w:t>.</w:t>
      </w:r>
      <w:r w:rsidRPr="00F34050">
        <w:rPr>
          <w:rFonts w:eastAsia="Times New Roman"/>
          <w:lang w:eastAsia="el-GR"/>
        </w:rPr>
        <w:t xml:space="preserve"> β</w:t>
      </w:r>
      <w:r w:rsidR="00B86F9C" w:rsidRPr="00F34050">
        <w:rPr>
          <w:rFonts w:eastAsia="Times New Roman"/>
          <w:lang w:eastAsia="el-GR"/>
        </w:rPr>
        <w:t>΄</w:t>
      </w:r>
      <w:r w:rsidRPr="00F34050">
        <w:rPr>
          <w:rFonts w:eastAsia="Times New Roman"/>
          <w:lang w:eastAsia="el-GR"/>
        </w:rPr>
        <w:t>), </w:t>
      </w:r>
      <w:proofErr w:type="spellStart"/>
      <w:r w:rsidRPr="00F34050">
        <w:rPr>
          <w:rFonts w:eastAsia="Times New Roman"/>
          <w:i/>
          <w:iCs/>
          <w:lang w:eastAsia="el-GR"/>
        </w:rPr>
        <w:t>Antonissen</w:t>
      </w:r>
      <w:proofErr w:type="spellEnd"/>
      <w:r w:rsidRPr="00F34050">
        <w:rPr>
          <w:rFonts w:eastAsia="Times New Roman"/>
          <w:i/>
          <w:iCs/>
          <w:lang w:eastAsia="el-GR"/>
        </w:rPr>
        <w:t> </w:t>
      </w:r>
      <w:r w:rsidRPr="00F34050">
        <w:rPr>
          <w:rFonts w:eastAsia="Times New Roman"/>
          <w:lang w:eastAsia="el-GR"/>
        </w:rPr>
        <w:t>)</w:t>
      </w:r>
      <w:r w:rsidR="001F778F" w:rsidRPr="00F34050">
        <w:rPr>
          <w:rFonts w:eastAsia="Times New Roman"/>
          <w:lang w:eastAsia="el-GR"/>
        </w:rPr>
        <w:t xml:space="preserve">. </w:t>
      </w:r>
      <w:r w:rsidRPr="00F34050">
        <w:rPr>
          <w:rFonts w:eastAsia="Times New Roman"/>
          <w:lang w:eastAsia="el-GR"/>
        </w:rPr>
        <w:t xml:space="preserve">Η </w:t>
      </w:r>
      <w:r w:rsidR="001F778F" w:rsidRPr="00F34050">
        <w:rPr>
          <w:rFonts w:eastAsia="Times New Roman"/>
          <w:lang w:eastAsia="el-GR"/>
        </w:rPr>
        <w:t>Μαρία</w:t>
      </w:r>
      <w:r w:rsidRPr="00F34050">
        <w:rPr>
          <w:rFonts w:eastAsia="Times New Roman"/>
          <w:lang w:eastAsia="el-GR"/>
        </w:rPr>
        <w:t xml:space="preserve"> απέδειξε ξεκάθαρα ότι αναζητούσε πραγματικά εργασία, πρώτα </w:t>
      </w:r>
      <w:r w:rsidR="001F778F" w:rsidRPr="00F34050">
        <w:rPr>
          <w:rFonts w:eastAsia="Times New Roman"/>
          <w:lang w:eastAsia="el-GR"/>
        </w:rPr>
        <w:t>υποβάλλο</w:t>
      </w:r>
      <w:r w:rsidRPr="00F34050">
        <w:rPr>
          <w:rFonts w:eastAsia="Times New Roman"/>
          <w:lang w:eastAsia="el-GR"/>
        </w:rPr>
        <w:t>ντας αίτηση για τη θέση στο σχολείο και στη συνέχεια υποβάλλοντας αίτηση και αναλαμβάνοντας τη δουλειά ως καμαριέρα ξενοδοχείου.</w:t>
      </w:r>
      <w:r w:rsidR="00360E4B" w:rsidRPr="00F34050">
        <w:rPr>
          <w:rFonts w:eastAsia="Times New Roman"/>
          <w:lang w:eastAsia="el-GR"/>
        </w:rPr>
        <w:t xml:space="preserve"> </w:t>
      </w:r>
      <w:r w:rsidRPr="00F34050">
        <w:rPr>
          <w:rFonts w:eastAsia="Times New Roman"/>
          <w:lang w:eastAsia="el-GR"/>
        </w:rPr>
        <w:t>Επομένως, είχε το δικαίωμα να παραμείνει στην Ι</w:t>
      </w:r>
      <w:r w:rsidR="00360E4B" w:rsidRPr="00F34050">
        <w:rPr>
          <w:rFonts w:eastAsia="Times New Roman"/>
          <w:lang w:eastAsia="el-GR"/>
        </w:rPr>
        <w:t>ταλ</w:t>
      </w:r>
      <w:r w:rsidRPr="00F34050">
        <w:rPr>
          <w:rFonts w:eastAsia="Times New Roman"/>
          <w:lang w:eastAsia="el-GR"/>
        </w:rPr>
        <w:t>ία ως αναζητούσα εργασία.</w:t>
      </w:r>
    </w:p>
    <w:p w14:paraId="63AF62D5" w14:textId="77777777" w:rsidR="007C41D5" w:rsidRPr="00F34050" w:rsidRDefault="007C41D5" w:rsidP="00DC7A04">
      <w:pPr>
        <w:shd w:val="clear" w:color="auto" w:fill="FFFFFF"/>
        <w:spacing w:line="360" w:lineRule="auto"/>
        <w:contextualSpacing/>
        <w:jc w:val="both"/>
        <w:rPr>
          <w:rFonts w:eastAsia="Times New Roman"/>
          <w:lang w:eastAsia="el-GR"/>
        </w:rPr>
      </w:pPr>
    </w:p>
    <w:p w14:paraId="2E5792AB" w14:textId="77777777" w:rsidR="00360E4B" w:rsidRPr="00F34050" w:rsidRDefault="001F778F" w:rsidP="00360E4B">
      <w:pPr>
        <w:shd w:val="clear" w:color="auto" w:fill="FFFFFF"/>
        <w:spacing w:line="360" w:lineRule="auto"/>
        <w:contextualSpacing/>
        <w:jc w:val="both"/>
        <w:rPr>
          <w:rFonts w:eastAsia="Times New Roman"/>
          <w:lang w:eastAsia="el-GR"/>
        </w:rPr>
      </w:pPr>
      <w:r w:rsidRPr="00F34050">
        <w:rPr>
          <w:rFonts w:eastAsia="Times New Roman"/>
          <w:u w:val="single"/>
          <w:lang w:eastAsia="el-GR"/>
        </w:rPr>
        <w:t xml:space="preserve">Α3. </w:t>
      </w:r>
      <w:r w:rsidR="007C41D5" w:rsidRPr="00F34050">
        <w:rPr>
          <w:rFonts w:eastAsia="Times New Roman"/>
          <w:u w:val="single"/>
          <w:lang w:eastAsia="el-GR"/>
        </w:rPr>
        <w:t>Δικαίωμα διαμονής ως εργαζόμεν</w:t>
      </w:r>
      <w:r w:rsidRPr="00F34050">
        <w:rPr>
          <w:rFonts w:eastAsia="Times New Roman"/>
          <w:u w:val="single"/>
          <w:lang w:eastAsia="el-GR"/>
        </w:rPr>
        <w:t>η</w:t>
      </w:r>
    </w:p>
    <w:p w14:paraId="2852452C" w14:textId="0482EC9C" w:rsidR="007C41D5" w:rsidRPr="00F34050" w:rsidRDefault="007C41D5" w:rsidP="00360E4B">
      <w:pPr>
        <w:shd w:val="clear" w:color="auto" w:fill="FFFFFF"/>
        <w:spacing w:line="360" w:lineRule="auto"/>
        <w:contextualSpacing/>
        <w:jc w:val="both"/>
        <w:rPr>
          <w:rFonts w:eastAsia="Times New Roman"/>
          <w:lang w:eastAsia="el-GR"/>
        </w:rPr>
      </w:pPr>
      <w:r w:rsidRPr="00F34050">
        <w:rPr>
          <w:rFonts w:eastAsia="Times New Roman"/>
          <w:lang w:eastAsia="el-GR"/>
        </w:rPr>
        <w:t xml:space="preserve">Τώρα που </w:t>
      </w:r>
      <w:r w:rsidR="00B86F9C" w:rsidRPr="00F34050">
        <w:rPr>
          <w:rFonts w:eastAsia="Times New Roman"/>
          <w:lang w:eastAsia="el-GR"/>
        </w:rPr>
        <w:t>κατέλαβε</w:t>
      </w:r>
      <w:r w:rsidRPr="00F34050">
        <w:rPr>
          <w:rFonts w:eastAsia="Times New Roman"/>
          <w:lang w:eastAsia="el-GR"/>
        </w:rPr>
        <w:t xml:space="preserve"> τη θέση της καμαριέρας, εάν η Μαρία μπορεί να αποδείξει την ιδιότητα του «εργαζόμενου», έχει στη διάθεσή της το φάσμα των δικαιωμάτων των εργαζομένων σύμφωνα με τις διατάξεις της Συνθήκης και το παράγωγο δίκαιο.</w:t>
      </w:r>
      <w:r w:rsidR="00360E4B" w:rsidRPr="00F34050">
        <w:rPr>
          <w:rFonts w:eastAsia="Times New Roman"/>
          <w:lang w:eastAsia="el-GR"/>
        </w:rPr>
        <w:t xml:space="preserve"> </w:t>
      </w:r>
      <w:r w:rsidRPr="00F34050">
        <w:rPr>
          <w:rFonts w:eastAsia="Times New Roman"/>
          <w:lang w:eastAsia="el-GR"/>
        </w:rPr>
        <w:t xml:space="preserve">Δεν υπάρχει ορισμός της Συνθήκης για τον </w:t>
      </w:r>
      <w:r w:rsidRPr="00F34050">
        <w:rPr>
          <w:rFonts w:eastAsia="Times New Roman"/>
          <w:i/>
          <w:iCs/>
          <w:lang w:eastAsia="el-GR"/>
        </w:rPr>
        <w:t>«εργαζόμενο »,</w:t>
      </w:r>
      <w:r w:rsidRPr="00F34050">
        <w:rPr>
          <w:rFonts w:eastAsia="Times New Roman"/>
          <w:lang w:eastAsia="el-GR"/>
        </w:rPr>
        <w:t xml:space="preserve"> αλλά το ΔΕΚ έχει </w:t>
      </w:r>
      <w:r w:rsidR="00474968" w:rsidRPr="00F34050">
        <w:rPr>
          <w:rFonts w:eastAsia="Times New Roman"/>
          <w:lang w:eastAsia="el-GR"/>
        </w:rPr>
        <w:t>κρίν</w:t>
      </w:r>
      <w:r w:rsidRPr="00F34050">
        <w:rPr>
          <w:rFonts w:eastAsia="Times New Roman"/>
          <w:lang w:eastAsia="el-GR"/>
        </w:rPr>
        <w:t xml:space="preserve">ει ότι </w:t>
      </w:r>
      <w:r w:rsidRPr="00F34050">
        <w:rPr>
          <w:rFonts w:eastAsia="Times New Roman"/>
          <w:i/>
          <w:iCs/>
          <w:lang w:eastAsia="el-GR"/>
        </w:rPr>
        <w:t>«[το] ουσιαστικό χαρακτηριστικό μιας σχέσης απασχόλησης  είναι ότι για ένα ορισμένο χρονικό διάστημα ένα άτομο εκτελεί υπηρεσίες για και υπό την καθοδήγηση άλλου ατόμου σε αντάλλαγμα για τις οποίες λαμβάνει αμοιβή »(</w:t>
      </w:r>
      <w:r w:rsidRPr="00F34050">
        <w:rPr>
          <w:rFonts w:eastAsia="Times New Roman"/>
          <w:lang w:eastAsia="el-GR"/>
        </w:rPr>
        <w:t> </w:t>
      </w:r>
      <w:proofErr w:type="spellStart"/>
      <w:r w:rsidRPr="00F34050">
        <w:rPr>
          <w:rFonts w:eastAsia="Times New Roman"/>
          <w:i/>
          <w:iCs/>
          <w:lang w:eastAsia="el-GR"/>
        </w:rPr>
        <w:t>Lawrie-Blum</w:t>
      </w:r>
      <w:proofErr w:type="spellEnd"/>
      <w:r w:rsidRPr="00F34050">
        <w:rPr>
          <w:rFonts w:eastAsia="Times New Roman"/>
          <w:i/>
          <w:iCs/>
          <w:lang w:eastAsia="el-GR"/>
        </w:rPr>
        <w:t> </w:t>
      </w:r>
      <w:r w:rsidRPr="00F34050">
        <w:rPr>
          <w:rFonts w:eastAsia="Times New Roman"/>
          <w:lang w:eastAsia="el-GR"/>
        </w:rPr>
        <w:t xml:space="preserve">). Μια ατομική επιχείρηση </w:t>
      </w:r>
      <w:r w:rsidRPr="00F34050">
        <w:rPr>
          <w:rFonts w:eastAsia="Times New Roman"/>
          <w:i/>
          <w:iCs/>
          <w:lang w:eastAsia="el-GR"/>
        </w:rPr>
        <w:t>«αποτελεσματικής και γνήσιας»</w:t>
      </w:r>
      <w:r w:rsidRPr="00F34050">
        <w:rPr>
          <w:rFonts w:eastAsia="Times New Roman"/>
          <w:lang w:eastAsia="el-GR"/>
        </w:rPr>
        <w:t xml:space="preserve"> οικονομικής δραστηριότητας θα εμπίπτει στον ορισμό του «εργαζόμενου» ( </w:t>
      </w:r>
      <w:proofErr w:type="spellStart"/>
      <w:r w:rsidRPr="00F34050">
        <w:rPr>
          <w:rFonts w:eastAsia="Times New Roman"/>
          <w:i/>
          <w:iCs/>
          <w:lang w:eastAsia="el-GR"/>
        </w:rPr>
        <w:t>Levin</w:t>
      </w:r>
      <w:proofErr w:type="spellEnd"/>
      <w:r w:rsidRPr="00F34050">
        <w:rPr>
          <w:rFonts w:eastAsia="Times New Roman"/>
          <w:i/>
          <w:iCs/>
          <w:lang w:eastAsia="el-GR"/>
        </w:rPr>
        <w:t>, </w:t>
      </w:r>
      <w:proofErr w:type="spellStart"/>
      <w:r w:rsidRPr="00F34050">
        <w:rPr>
          <w:rFonts w:eastAsia="Times New Roman"/>
          <w:i/>
          <w:iCs/>
          <w:lang w:eastAsia="el-GR"/>
        </w:rPr>
        <w:t>Bettray</w:t>
      </w:r>
      <w:proofErr w:type="spellEnd"/>
      <w:r w:rsidRPr="00F34050">
        <w:rPr>
          <w:rFonts w:eastAsia="Times New Roman"/>
          <w:i/>
          <w:iCs/>
          <w:lang w:eastAsia="el-GR"/>
        </w:rPr>
        <w:t> </w:t>
      </w:r>
      <w:r w:rsidRPr="00F34050">
        <w:rPr>
          <w:rFonts w:eastAsia="Times New Roman"/>
          <w:lang w:eastAsia="el-GR"/>
        </w:rPr>
        <w:t xml:space="preserve">).  Η εργασία </w:t>
      </w:r>
      <w:r w:rsidR="001F778F" w:rsidRPr="00F34050">
        <w:rPr>
          <w:rFonts w:eastAsia="Times New Roman"/>
          <w:lang w:eastAsia="el-GR"/>
        </w:rPr>
        <w:t xml:space="preserve">της </w:t>
      </w:r>
      <w:proofErr w:type="spellStart"/>
      <w:r w:rsidR="001F778F" w:rsidRPr="00F34050">
        <w:rPr>
          <w:rFonts w:eastAsia="Times New Roman"/>
          <w:lang w:eastAsia="el-GR"/>
        </w:rPr>
        <w:t>Μαρίας</w:t>
      </w:r>
      <w:r w:rsidRPr="00F34050">
        <w:rPr>
          <w:rFonts w:eastAsia="Times New Roman"/>
          <w:lang w:eastAsia="el-GR"/>
        </w:rPr>
        <w:t>ως</w:t>
      </w:r>
      <w:proofErr w:type="spellEnd"/>
      <w:r w:rsidR="00A07CE0" w:rsidRPr="00F34050">
        <w:rPr>
          <w:rFonts w:eastAsia="Times New Roman"/>
          <w:lang w:eastAsia="el-GR"/>
        </w:rPr>
        <w:t xml:space="preserve"> </w:t>
      </w:r>
      <w:r w:rsidRPr="00F34050">
        <w:rPr>
          <w:rFonts w:eastAsia="Times New Roman"/>
          <w:lang w:eastAsia="el-GR"/>
        </w:rPr>
        <w:t>καμαριέρα</w:t>
      </w:r>
      <w:r w:rsidR="001F778F" w:rsidRPr="00F34050">
        <w:rPr>
          <w:rFonts w:eastAsia="Times New Roman"/>
          <w:lang w:eastAsia="el-GR"/>
        </w:rPr>
        <w:t xml:space="preserve"> </w:t>
      </w:r>
      <w:r w:rsidRPr="00F34050">
        <w:rPr>
          <w:rFonts w:eastAsia="Times New Roman"/>
          <w:lang w:eastAsia="el-GR"/>
        </w:rPr>
        <w:t>σαφώς</w:t>
      </w:r>
      <w:r w:rsidR="001F778F" w:rsidRPr="00F34050">
        <w:rPr>
          <w:rFonts w:eastAsia="Times New Roman"/>
          <w:lang w:eastAsia="el-GR"/>
        </w:rPr>
        <w:t xml:space="preserve"> </w:t>
      </w:r>
      <w:r w:rsidRPr="00F34050">
        <w:rPr>
          <w:rFonts w:eastAsia="Times New Roman"/>
          <w:lang w:eastAsia="el-GR"/>
        </w:rPr>
        <w:t>ικανοποιεί</w:t>
      </w:r>
      <w:r w:rsidR="001F778F" w:rsidRPr="00F34050">
        <w:rPr>
          <w:rFonts w:eastAsia="Times New Roman"/>
          <w:lang w:eastAsia="el-GR"/>
        </w:rPr>
        <w:t xml:space="preserve"> </w:t>
      </w:r>
      <w:r w:rsidRPr="00F34050">
        <w:rPr>
          <w:rFonts w:eastAsia="Times New Roman"/>
          <w:lang w:eastAsia="el-GR"/>
        </w:rPr>
        <w:t xml:space="preserve">αυτές </w:t>
      </w:r>
      <w:r w:rsidR="001F778F" w:rsidRPr="00F34050">
        <w:rPr>
          <w:rFonts w:eastAsia="Times New Roman"/>
          <w:lang w:eastAsia="el-GR"/>
        </w:rPr>
        <w:t xml:space="preserve">τις </w:t>
      </w:r>
      <w:r w:rsidRPr="00F34050">
        <w:rPr>
          <w:rFonts w:eastAsia="Times New Roman"/>
          <w:lang w:eastAsia="el-GR"/>
        </w:rPr>
        <w:t>απαιτήσεις</w:t>
      </w:r>
      <w:r w:rsidR="001F778F" w:rsidRPr="00F34050">
        <w:rPr>
          <w:rFonts w:eastAsia="Times New Roman"/>
          <w:lang w:eastAsia="el-GR"/>
        </w:rPr>
        <w:t xml:space="preserve">. </w:t>
      </w:r>
      <w:r w:rsidRPr="00F34050">
        <w:rPr>
          <w:rFonts w:eastAsia="Times New Roman"/>
          <w:lang w:eastAsia="el-GR"/>
        </w:rPr>
        <w:t xml:space="preserve">Ως μετανάστρια εργαζόμενη </w:t>
      </w:r>
      <w:r w:rsidR="00474968" w:rsidRPr="00F34050">
        <w:rPr>
          <w:rFonts w:eastAsia="Times New Roman"/>
          <w:lang w:eastAsia="el-GR"/>
        </w:rPr>
        <w:t>πολίτης</w:t>
      </w:r>
      <w:r w:rsidRPr="00F34050">
        <w:rPr>
          <w:rFonts w:eastAsia="Times New Roman"/>
          <w:lang w:eastAsia="el-GR"/>
        </w:rPr>
        <w:t xml:space="preserve"> της ΕΕ, η Μαρία έχει το δικαίωμα, σύμφωνα με το </w:t>
      </w:r>
      <w:r w:rsidR="00360E4B" w:rsidRPr="00F34050">
        <w:rPr>
          <w:rFonts w:eastAsia="Times New Roman"/>
          <w:lang w:eastAsia="el-GR"/>
        </w:rPr>
        <w:t>ά.</w:t>
      </w:r>
      <w:r w:rsidRPr="00F34050">
        <w:rPr>
          <w:rFonts w:eastAsia="Times New Roman"/>
          <w:lang w:eastAsia="el-GR"/>
        </w:rPr>
        <w:t xml:space="preserve"> 45 (3)</w:t>
      </w:r>
      <w:r w:rsidR="00A07CE0" w:rsidRPr="00F34050">
        <w:rPr>
          <w:rFonts w:eastAsia="Times New Roman"/>
          <w:lang w:eastAsia="el-GR"/>
        </w:rPr>
        <w:t xml:space="preserve"> </w:t>
      </w:r>
      <w:r w:rsidRPr="00F34050">
        <w:rPr>
          <w:rFonts w:eastAsia="Times New Roman"/>
          <w:lang w:eastAsia="el-GR"/>
        </w:rPr>
        <w:t xml:space="preserve">ΣΛΕΕ να παραμείνει στην Ιταλία για σκοπούς </w:t>
      </w:r>
      <w:r w:rsidRPr="00F34050">
        <w:rPr>
          <w:rFonts w:eastAsia="Times New Roman"/>
          <w:lang w:eastAsia="el-GR"/>
        </w:rPr>
        <w:lastRenderedPageBreak/>
        <w:t xml:space="preserve">απασχόλησης. Ως πολίτης της Ένωσης με καθεστώς εργαζομένου έχει το δικαίωμα, σύμφωνα με την </w:t>
      </w:r>
      <w:r w:rsidR="00474968" w:rsidRPr="00F34050">
        <w:rPr>
          <w:rFonts w:eastAsia="Times New Roman"/>
          <w:lang w:eastAsia="el-GR"/>
        </w:rPr>
        <w:t>Ο</w:t>
      </w:r>
      <w:r w:rsidRPr="00F34050">
        <w:rPr>
          <w:rFonts w:eastAsia="Times New Roman"/>
          <w:lang w:eastAsia="el-GR"/>
        </w:rPr>
        <w:t>δηγία 2004/38, να παραμείνει στην Ιταλία για περισσότερο από τρεις μήνες (</w:t>
      </w:r>
      <w:r w:rsidR="00360E4B" w:rsidRPr="00F34050">
        <w:rPr>
          <w:rFonts w:eastAsia="Times New Roman"/>
          <w:lang w:eastAsia="el-GR"/>
        </w:rPr>
        <w:t>ά.</w:t>
      </w:r>
      <w:r w:rsidRPr="00F34050">
        <w:rPr>
          <w:rFonts w:eastAsia="Times New Roman"/>
          <w:lang w:eastAsia="el-GR"/>
        </w:rPr>
        <w:t xml:space="preserve"> 7 παρ</w:t>
      </w:r>
      <w:r w:rsidR="00474968" w:rsidRPr="00F34050">
        <w:rPr>
          <w:rFonts w:eastAsia="Times New Roman"/>
          <w:lang w:eastAsia="el-GR"/>
        </w:rPr>
        <w:t>.</w:t>
      </w:r>
      <w:r w:rsidRPr="00F34050">
        <w:rPr>
          <w:rFonts w:eastAsia="Times New Roman"/>
          <w:lang w:eastAsia="el-GR"/>
        </w:rPr>
        <w:t xml:space="preserve"> 1 </w:t>
      </w:r>
      <w:proofErr w:type="spellStart"/>
      <w:r w:rsidRPr="00F34050">
        <w:rPr>
          <w:rFonts w:eastAsia="Times New Roman"/>
          <w:lang w:eastAsia="el-GR"/>
        </w:rPr>
        <w:t>στ</w:t>
      </w:r>
      <w:proofErr w:type="spellEnd"/>
      <w:r w:rsidR="00474968" w:rsidRPr="00F34050">
        <w:rPr>
          <w:rFonts w:eastAsia="Times New Roman"/>
          <w:lang w:eastAsia="el-GR"/>
        </w:rPr>
        <w:t>.</w:t>
      </w:r>
      <w:r w:rsidRPr="00F34050">
        <w:rPr>
          <w:rFonts w:eastAsia="Times New Roman"/>
          <w:lang w:eastAsia="el-GR"/>
        </w:rPr>
        <w:t xml:space="preserve"> α)).</w:t>
      </w:r>
    </w:p>
    <w:p w14:paraId="77347F86" w14:textId="77777777" w:rsidR="007C41D5" w:rsidRPr="00F34050" w:rsidRDefault="007C41D5" w:rsidP="00DC7A04">
      <w:pPr>
        <w:shd w:val="clear" w:color="auto" w:fill="FFFFFF"/>
        <w:spacing w:line="360" w:lineRule="auto"/>
        <w:contextualSpacing/>
        <w:jc w:val="both"/>
        <w:rPr>
          <w:rFonts w:eastAsia="Times New Roman"/>
          <w:lang w:eastAsia="el-GR"/>
        </w:rPr>
      </w:pPr>
    </w:p>
    <w:p w14:paraId="340D3004" w14:textId="2F56C961" w:rsidR="007C41D5" w:rsidRPr="00F34050" w:rsidRDefault="00A07CE0" w:rsidP="00DC7A04">
      <w:pPr>
        <w:shd w:val="clear" w:color="auto" w:fill="FFFFFF"/>
        <w:spacing w:line="360" w:lineRule="auto"/>
        <w:contextualSpacing/>
        <w:jc w:val="both"/>
        <w:rPr>
          <w:rFonts w:eastAsia="Times New Roman"/>
          <w:b/>
          <w:bCs/>
          <w:lang w:eastAsia="el-GR"/>
        </w:rPr>
      </w:pPr>
      <w:r w:rsidRPr="00F34050">
        <w:rPr>
          <w:rFonts w:eastAsia="Times New Roman"/>
          <w:b/>
          <w:bCs/>
          <w:lang w:eastAsia="el-GR"/>
        </w:rPr>
        <w:t xml:space="preserve">Β. </w:t>
      </w:r>
      <w:r w:rsidR="007C41D5" w:rsidRPr="00F34050">
        <w:rPr>
          <w:rFonts w:eastAsia="Times New Roman"/>
          <w:b/>
          <w:bCs/>
          <w:lang w:eastAsia="el-GR"/>
        </w:rPr>
        <w:t>Το δικαίωμα πρόσβασης της Μαρίας στην απασχόληση</w:t>
      </w:r>
    </w:p>
    <w:p w14:paraId="5739988A" w14:textId="075A7B7F" w:rsidR="007C41D5" w:rsidRPr="00F34050" w:rsidRDefault="00A07CE0" w:rsidP="00DC7A04">
      <w:pPr>
        <w:shd w:val="clear" w:color="auto" w:fill="FFFFFF"/>
        <w:spacing w:line="360" w:lineRule="auto"/>
        <w:contextualSpacing/>
        <w:jc w:val="both"/>
        <w:rPr>
          <w:rFonts w:eastAsia="Times New Roman"/>
          <w:lang w:eastAsia="el-GR"/>
        </w:rPr>
      </w:pPr>
      <w:r w:rsidRPr="00F34050">
        <w:rPr>
          <w:rFonts w:eastAsia="Times New Roman"/>
          <w:u w:val="single"/>
          <w:lang w:eastAsia="el-GR"/>
        </w:rPr>
        <w:t xml:space="preserve">Β1. </w:t>
      </w:r>
      <w:r w:rsidR="007C41D5" w:rsidRPr="00F34050">
        <w:rPr>
          <w:rFonts w:eastAsia="Times New Roman"/>
          <w:u w:val="single"/>
          <w:lang w:eastAsia="el-GR"/>
        </w:rPr>
        <w:t>Απαγόρευση των διακρίσεων</w:t>
      </w:r>
    </w:p>
    <w:p w14:paraId="3AD17351" w14:textId="38020CE6" w:rsidR="007C41D5" w:rsidRPr="00F34050" w:rsidRDefault="007C41D5" w:rsidP="00360E4B">
      <w:pPr>
        <w:shd w:val="clear" w:color="auto" w:fill="FFFFFF"/>
        <w:spacing w:after="160" w:line="360" w:lineRule="auto"/>
        <w:contextualSpacing/>
        <w:jc w:val="both"/>
        <w:rPr>
          <w:rFonts w:eastAsia="Times New Roman"/>
          <w:lang w:eastAsia="el-GR"/>
        </w:rPr>
      </w:pPr>
      <w:r w:rsidRPr="00F34050">
        <w:rPr>
          <w:rFonts w:eastAsia="Times New Roman"/>
          <w:lang w:eastAsia="el-GR"/>
        </w:rPr>
        <w:t xml:space="preserve">Το </w:t>
      </w:r>
      <w:r w:rsidR="00360E4B" w:rsidRPr="00F34050">
        <w:rPr>
          <w:rFonts w:eastAsia="Times New Roman"/>
          <w:lang w:eastAsia="el-GR"/>
        </w:rPr>
        <w:t>ά.</w:t>
      </w:r>
      <w:r w:rsidRPr="00F34050">
        <w:rPr>
          <w:rFonts w:eastAsia="Times New Roman"/>
          <w:lang w:eastAsia="el-GR"/>
        </w:rPr>
        <w:t xml:space="preserve"> 18 της ΣΛΕΕ καθορίζει τη γενική αρχή της </w:t>
      </w:r>
      <w:r w:rsidR="00474968" w:rsidRPr="00F34050">
        <w:rPr>
          <w:rFonts w:eastAsia="Times New Roman"/>
          <w:lang w:eastAsia="el-GR"/>
        </w:rPr>
        <w:t>απαγόρευσης των</w:t>
      </w:r>
      <w:r w:rsidRPr="00F34050">
        <w:rPr>
          <w:rFonts w:eastAsia="Times New Roman"/>
          <w:lang w:eastAsia="el-GR"/>
        </w:rPr>
        <w:t xml:space="preserve"> διακρίσε</w:t>
      </w:r>
      <w:r w:rsidR="00474968" w:rsidRPr="00F34050">
        <w:rPr>
          <w:rFonts w:eastAsia="Times New Roman"/>
          <w:lang w:eastAsia="el-GR"/>
        </w:rPr>
        <w:t>ων</w:t>
      </w:r>
      <w:r w:rsidRPr="00F34050">
        <w:rPr>
          <w:rFonts w:eastAsia="Times New Roman"/>
          <w:lang w:eastAsia="el-GR"/>
        </w:rPr>
        <w:t xml:space="preserve"> λόγω ιθαγένειας </w:t>
      </w:r>
      <w:r w:rsidRPr="00F34050">
        <w:rPr>
          <w:rFonts w:eastAsia="Times New Roman"/>
          <w:i/>
          <w:iCs/>
          <w:lang w:eastAsia="el-GR"/>
        </w:rPr>
        <w:t>«εντός του πεδίου εφαρμογής της παρούσας Συνθήκης».</w:t>
      </w:r>
      <w:r w:rsidR="00360E4B" w:rsidRPr="00F34050">
        <w:rPr>
          <w:rFonts w:eastAsia="Times New Roman"/>
          <w:lang w:eastAsia="el-GR"/>
        </w:rPr>
        <w:t xml:space="preserve"> </w:t>
      </w:r>
      <w:r w:rsidRPr="00F34050">
        <w:rPr>
          <w:rFonts w:eastAsia="Times New Roman"/>
          <w:lang w:eastAsia="el-GR"/>
        </w:rPr>
        <w:t xml:space="preserve">Το </w:t>
      </w:r>
      <w:r w:rsidR="00360E4B" w:rsidRPr="00F34050">
        <w:rPr>
          <w:rFonts w:eastAsia="Times New Roman"/>
          <w:lang w:eastAsia="el-GR"/>
        </w:rPr>
        <w:t>ά.</w:t>
      </w:r>
      <w:r w:rsidRPr="00F34050">
        <w:rPr>
          <w:rFonts w:eastAsia="Times New Roman"/>
          <w:lang w:eastAsia="el-GR"/>
        </w:rPr>
        <w:t xml:space="preserve"> 45 παράγραφος 2 της ΣΛΕΕ προβλέπει ότι οι εργαζόμενοι των </w:t>
      </w:r>
      <w:r w:rsidR="00474968" w:rsidRPr="00F34050">
        <w:rPr>
          <w:rFonts w:eastAsia="Times New Roman"/>
          <w:lang w:eastAsia="el-GR"/>
        </w:rPr>
        <w:t>Κ</w:t>
      </w:r>
      <w:r w:rsidRPr="00F34050">
        <w:rPr>
          <w:rFonts w:eastAsia="Times New Roman"/>
          <w:lang w:eastAsia="el-GR"/>
        </w:rPr>
        <w:t xml:space="preserve">ρατών </w:t>
      </w:r>
      <w:r w:rsidR="00474968" w:rsidRPr="00F34050">
        <w:rPr>
          <w:rFonts w:eastAsia="Times New Roman"/>
          <w:lang w:eastAsia="el-GR"/>
        </w:rPr>
        <w:t xml:space="preserve">- </w:t>
      </w:r>
      <w:r w:rsidRPr="00F34050">
        <w:rPr>
          <w:rFonts w:eastAsia="Times New Roman"/>
          <w:lang w:eastAsia="el-GR"/>
        </w:rPr>
        <w:t>μελών απαλλάσσονται από διακρίσεις λόγω ιθαγένειας όσον αφορά την απασχόληση, τις αμοιβές και άλλους όρους εργασίας και απασχόλησης.</w:t>
      </w:r>
      <w:r w:rsidR="00360E4B" w:rsidRPr="00F34050">
        <w:rPr>
          <w:rFonts w:eastAsia="Times New Roman"/>
          <w:lang w:eastAsia="el-GR"/>
        </w:rPr>
        <w:t xml:space="preserve"> </w:t>
      </w:r>
      <w:r w:rsidRPr="00F34050">
        <w:rPr>
          <w:rFonts w:eastAsia="Times New Roman"/>
          <w:lang w:eastAsia="el-GR"/>
        </w:rPr>
        <w:t xml:space="preserve">Η </w:t>
      </w:r>
      <w:r w:rsidR="00360E4B" w:rsidRPr="00F34050">
        <w:rPr>
          <w:rFonts w:eastAsia="Times New Roman"/>
          <w:lang w:eastAsia="el-GR"/>
        </w:rPr>
        <w:t>Ο</w:t>
      </w:r>
      <w:r w:rsidRPr="00F34050">
        <w:rPr>
          <w:rFonts w:eastAsia="Times New Roman"/>
          <w:lang w:eastAsia="el-GR"/>
        </w:rPr>
        <w:t>δηγία 2004/38 προβλέπει ότι όλοι οι πολίτες της Ένωσης που διαμένουν σε άλλο κράτος μέλος βάσει της </w:t>
      </w:r>
      <w:r w:rsidR="00474968" w:rsidRPr="00F34050">
        <w:rPr>
          <w:rFonts w:eastAsia="Times New Roman"/>
          <w:lang w:eastAsia="el-GR"/>
        </w:rPr>
        <w:t>Ο</w:t>
      </w:r>
      <w:r w:rsidRPr="00F34050">
        <w:rPr>
          <w:rFonts w:eastAsia="Times New Roman"/>
          <w:lang w:eastAsia="el-GR"/>
        </w:rPr>
        <w:t>δηγίας έχουν ίση μεταχείριση με τους υπηκόους του κράτους υποδοχής, στο πλαίσιο της Συνθήκης (</w:t>
      </w:r>
      <w:r w:rsidR="00360E4B" w:rsidRPr="00F34050">
        <w:rPr>
          <w:rFonts w:eastAsia="Times New Roman"/>
          <w:lang w:eastAsia="el-GR"/>
        </w:rPr>
        <w:t>ά.</w:t>
      </w:r>
      <w:r w:rsidRPr="00F34050">
        <w:rPr>
          <w:rFonts w:eastAsia="Times New Roman"/>
          <w:lang w:eastAsia="el-GR"/>
        </w:rPr>
        <w:t xml:space="preserve"> 24).</w:t>
      </w:r>
      <w:r w:rsidR="00A07CE0" w:rsidRPr="00F34050">
        <w:rPr>
          <w:rFonts w:eastAsia="Times New Roman"/>
          <w:lang w:eastAsia="el-GR"/>
        </w:rPr>
        <w:t xml:space="preserve"> </w:t>
      </w:r>
      <w:r w:rsidRPr="00F34050">
        <w:rPr>
          <w:rFonts w:eastAsia="Times New Roman"/>
          <w:lang w:eastAsia="el-GR"/>
        </w:rPr>
        <w:t>Ως μετανάστρια εργαζόμενη υπήκοος της ΕΕ, η Μαρία έχει όλα αυτά τα δικαιώματα. Το πεδίο εφαρμογής τους καθορίζεται από τον Κανονισμό 492/2011.</w:t>
      </w:r>
    </w:p>
    <w:p w14:paraId="21DCC8CC" w14:textId="77777777" w:rsidR="00A07CE0" w:rsidRPr="00F34050" w:rsidRDefault="00A07CE0" w:rsidP="00A07CE0">
      <w:pPr>
        <w:shd w:val="clear" w:color="auto" w:fill="FFFFFF"/>
        <w:spacing w:after="160" w:line="360" w:lineRule="auto"/>
        <w:contextualSpacing/>
        <w:jc w:val="both"/>
        <w:rPr>
          <w:rFonts w:eastAsia="Times New Roman"/>
          <w:lang w:eastAsia="el-GR"/>
        </w:rPr>
      </w:pPr>
    </w:p>
    <w:p w14:paraId="1041C312" w14:textId="1A7A105D" w:rsidR="007C41D5" w:rsidRPr="00F34050" w:rsidRDefault="00A07CE0" w:rsidP="00DC7A04">
      <w:pPr>
        <w:shd w:val="clear" w:color="auto" w:fill="FFFFFF"/>
        <w:spacing w:line="360" w:lineRule="auto"/>
        <w:contextualSpacing/>
        <w:jc w:val="both"/>
        <w:rPr>
          <w:rFonts w:eastAsia="Times New Roman"/>
          <w:lang w:eastAsia="el-GR"/>
        </w:rPr>
      </w:pPr>
      <w:r w:rsidRPr="00F34050">
        <w:rPr>
          <w:rFonts w:eastAsia="Times New Roman"/>
          <w:u w:val="single"/>
          <w:lang w:eastAsia="el-GR"/>
        </w:rPr>
        <w:t xml:space="preserve">Β2. </w:t>
      </w:r>
      <w:r w:rsidR="007C41D5" w:rsidRPr="00F34050">
        <w:rPr>
          <w:rFonts w:eastAsia="Times New Roman"/>
          <w:u w:val="single"/>
          <w:lang w:eastAsia="el-GR"/>
        </w:rPr>
        <w:t>Πρόσβαση στην απασχόληση</w:t>
      </w:r>
    </w:p>
    <w:p w14:paraId="05B33C05" w14:textId="4A9621EF" w:rsidR="007C41D5" w:rsidRPr="00F34050" w:rsidRDefault="007C41D5" w:rsidP="00A07CE0">
      <w:pPr>
        <w:shd w:val="clear" w:color="auto" w:fill="FFFFFF"/>
        <w:spacing w:after="160" w:line="360" w:lineRule="auto"/>
        <w:contextualSpacing/>
        <w:jc w:val="both"/>
        <w:rPr>
          <w:rFonts w:eastAsia="Times New Roman"/>
          <w:lang w:eastAsia="el-GR"/>
        </w:rPr>
      </w:pPr>
      <w:r w:rsidRPr="00F34050">
        <w:rPr>
          <w:rFonts w:eastAsia="Times New Roman"/>
          <w:lang w:eastAsia="el-GR"/>
        </w:rPr>
        <w:t xml:space="preserve">Ο </w:t>
      </w:r>
      <w:r w:rsidR="00A07CE0" w:rsidRPr="00F34050">
        <w:rPr>
          <w:rFonts w:eastAsia="Times New Roman"/>
          <w:lang w:eastAsia="el-GR"/>
        </w:rPr>
        <w:t>Κ</w:t>
      </w:r>
      <w:r w:rsidRPr="00F34050">
        <w:rPr>
          <w:rFonts w:eastAsia="Times New Roman"/>
          <w:lang w:eastAsia="el-GR"/>
        </w:rPr>
        <w:t xml:space="preserve">ανονισμός 492/2011 προβλέπει ότι κάθε υπήκοος κράτους μέλους δικαιούται να απασχοληθεί σε άλλο κράτος μέλος σύμφωνα με τις ίδιες διατάξεις με εκείνες που ισχύουν για τους υπηκόους του κράτους υποδοχής. Ωστόσο, ο </w:t>
      </w:r>
      <w:r w:rsidR="00474968" w:rsidRPr="00F34050">
        <w:rPr>
          <w:rFonts w:eastAsia="Times New Roman"/>
          <w:lang w:eastAsia="el-GR"/>
        </w:rPr>
        <w:t>Κ</w:t>
      </w:r>
      <w:r w:rsidRPr="00F34050">
        <w:rPr>
          <w:rFonts w:eastAsia="Times New Roman"/>
          <w:lang w:eastAsia="el-GR"/>
        </w:rPr>
        <w:t>ανονισμός προβλέπει παρέκκλιση από αυτήν την αρχή σε σχέση με τις γλωσσικές απαιτήσεις. Αυτό το </w:t>
      </w:r>
      <w:r w:rsidR="00A07CE0" w:rsidRPr="00F34050">
        <w:rPr>
          <w:rFonts w:eastAsia="Times New Roman"/>
          <w:lang w:eastAsia="el-GR"/>
        </w:rPr>
        <w:t>ζήτη</w:t>
      </w:r>
      <w:r w:rsidRPr="00F34050">
        <w:rPr>
          <w:rFonts w:eastAsia="Times New Roman"/>
          <w:lang w:eastAsia="el-GR"/>
        </w:rPr>
        <w:t>μα πρέπει να εξεταστεί στην περίπτωση της Μαρίας .</w:t>
      </w:r>
      <w:r w:rsidR="00A07CE0" w:rsidRPr="00F34050">
        <w:rPr>
          <w:rFonts w:eastAsia="Times New Roman"/>
          <w:lang w:eastAsia="el-GR"/>
        </w:rPr>
        <w:t xml:space="preserve"> </w:t>
      </w:r>
      <w:r w:rsidRPr="00F34050">
        <w:rPr>
          <w:rFonts w:eastAsia="Times New Roman"/>
          <w:lang w:eastAsia="el-GR"/>
        </w:rPr>
        <w:t>Η αίτηση της Μαρία</w:t>
      </w:r>
      <w:r w:rsidR="00A07CE0" w:rsidRPr="00F34050">
        <w:rPr>
          <w:rFonts w:eastAsia="Times New Roman"/>
          <w:lang w:eastAsia="el-GR"/>
        </w:rPr>
        <w:t>ς</w:t>
      </w:r>
      <w:r w:rsidRPr="00F34050">
        <w:rPr>
          <w:rFonts w:eastAsia="Times New Roman"/>
          <w:lang w:eastAsia="el-GR"/>
        </w:rPr>
        <w:t xml:space="preserve"> για ανειδίκευτη εργασία στις κουζίνες του σχολείου </w:t>
      </w:r>
      <w:r w:rsidR="00A07CE0" w:rsidRPr="00F34050">
        <w:rPr>
          <w:rFonts w:eastAsia="Times New Roman"/>
          <w:lang w:eastAsia="el-GR"/>
        </w:rPr>
        <w:t>δεν έγινε δεκτή</w:t>
      </w:r>
      <w:r w:rsidRPr="00F34050">
        <w:rPr>
          <w:rFonts w:eastAsia="Times New Roman"/>
          <w:lang w:eastAsia="el-GR"/>
        </w:rPr>
        <w:t xml:space="preserve"> επειδή απέτυχε στην εξέταση ισπανικής γλώσσας που είχε οριστεί στη συνέντευξη. Το </w:t>
      </w:r>
      <w:r w:rsidR="00360E4B" w:rsidRPr="00F34050">
        <w:rPr>
          <w:rFonts w:eastAsia="Times New Roman"/>
          <w:lang w:eastAsia="el-GR"/>
        </w:rPr>
        <w:t>ά.</w:t>
      </w:r>
      <w:r w:rsidRPr="00F34050">
        <w:rPr>
          <w:rFonts w:eastAsia="Times New Roman"/>
          <w:lang w:eastAsia="el-GR"/>
        </w:rPr>
        <w:t xml:space="preserve"> 3 του </w:t>
      </w:r>
      <w:r w:rsidR="00A07CE0" w:rsidRPr="00F34050">
        <w:rPr>
          <w:rFonts w:eastAsia="Times New Roman"/>
          <w:lang w:eastAsia="el-GR"/>
        </w:rPr>
        <w:t>Κ</w:t>
      </w:r>
      <w:r w:rsidRPr="00F34050">
        <w:rPr>
          <w:rFonts w:eastAsia="Times New Roman"/>
          <w:lang w:eastAsia="el-GR"/>
        </w:rPr>
        <w:t xml:space="preserve">ανονισμού 492/2011 αναφέρει ότι οι διατάξεις για ίση πρόσβαση στην απασχόληση δεν εφαρμόζονται σε όρους που σχετίζονται με τις γλωσσικές γνώσεις </w:t>
      </w:r>
      <w:r w:rsidRPr="00F34050">
        <w:rPr>
          <w:rFonts w:eastAsia="Times New Roman"/>
          <w:i/>
          <w:iCs/>
          <w:lang w:eastAsia="el-GR"/>
        </w:rPr>
        <w:t>«που απαιτούνται λόγω της φύσης της θέσης που πρέπει να καλυφθεί».</w:t>
      </w:r>
      <w:r w:rsidRPr="00F34050">
        <w:rPr>
          <w:rFonts w:eastAsia="Times New Roman"/>
          <w:lang w:eastAsia="el-GR"/>
        </w:rPr>
        <w:t xml:space="preserve"> Δεδομένου του είδους της εργασίας </w:t>
      </w:r>
      <w:r w:rsidR="00474968" w:rsidRPr="00F34050">
        <w:rPr>
          <w:rFonts w:eastAsia="Times New Roman"/>
          <w:lang w:eastAsia="el-GR"/>
        </w:rPr>
        <w:t xml:space="preserve">και λόγω της φύσης της θέσης </w:t>
      </w:r>
      <w:r w:rsidRPr="00F34050">
        <w:rPr>
          <w:rFonts w:eastAsia="Times New Roman"/>
          <w:lang w:eastAsia="el-GR"/>
        </w:rPr>
        <w:t>στην περίπτωση της Μαρίας, θα ήταν δύσκολο για το σχολείο να υποστηρίξει</w:t>
      </w:r>
      <w:r w:rsidR="00474968" w:rsidRPr="00F34050">
        <w:rPr>
          <w:rFonts w:eastAsia="Times New Roman"/>
          <w:lang w:eastAsia="el-GR"/>
        </w:rPr>
        <w:t xml:space="preserve"> </w:t>
      </w:r>
      <w:r w:rsidRPr="00F34050">
        <w:rPr>
          <w:rFonts w:eastAsia="Times New Roman"/>
          <w:lang w:eastAsia="el-GR"/>
        </w:rPr>
        <w:t xml:space="preserve">ότι </w:t>
      </w:r>
      <w:r w:rsidR="00A07CE0" w:rsidRPr="00F34050">
        <w:rPr>
          <w:rFonts w:eastAsia="Times New Roman"/>
          <w:lang w:eastAsia="el-GR"/>
        </w:rPr>
        <w:t xml:space="preserve">απαιτήθηκε </w:t>
      </w:r>
      <w:r w:rsidRPr="00F34050">
        <w:rPr>
          <w:rFonts w:eastAsia="Times New Roman"/>
          <w:lang w:eastAsia="el-GR"/>
        </w:rPr>
        <w:t xml:space="preserve">οτιδήποτε περισσότερο </w:t>
      </w:r>
      <w:r w:rsidR="00474968" w:rsidRPr="00F34050">
        <w:rPr>
          <w:rFonts w:eastAsia="Times New Roman"/>
          <w:lang w:eastAsia="el-GR"/>
        </w:rPr>
        <w:t xml:space="preserve">πέρα </w:t>
      </w:r>
      <w:r w:rsidRPr="00F34050">
        <w:rPr>
          <w:rFonts w:eastAsia="Times New Roman"/>
          <w:lang w:eastAsia="el-GR"/>
        </w:rPr>
        <w:t>από τις πιο βασικές γλωσσικές γνώσεις</w:t>
      </w:r>
      <w:r w:rsidR="00A07CE0" w:rsidRPr="00F34050">
        <w:rPr>
          <w:rFonts w:eastAsia="Times New Roman"/>
          <w:lang w:eastAsia="el-GR"/>
        </w:rPr>
        <w:t>.</w:t>
      </w:r>
    </w:p>
    <w:p w14:paraId="48122DAF" w14:textId="77777777" w:rsidR="007C41D5" w:rsidRPr="00F34050" w:rsidRDefault="007C41D5" w:rsidP="00DC7A04">
      <w:pPr>
        <w:shd w:val="clear" w:color="auto" w:fill="FFFFFF"/>
        <w:spacing w:line="360" w:lineRule="auto"/>
        <w:contextualSpacing/>
        <w:jc w:val="both"/>
        <w:rPr>
          <w:rFonts w:eastAsia="Times New Roman"/>
          <w:lang w:eastAsia="el-GR"/>
        </w:rPr>
      </w:pPr>
    </w:p>
    <w:p w14:paraId="7C6F704E" w14:textId="77F7A989" w:rsidR="007C41D5" w:rsidRPr="00F34050" w:rsidRDefault="00A07CE0" w:rsidP="00DC7A04">
      <w:pPr>
        <w:shd w:val="clear" w:color="auto" w:fill="FFFFFF"/>
        <w:spacing w:line="360" w:lineRule="auto"/>
        <w:contextualSpacing/>
        <w:jc w:val="both"/>
        <w:rPr>
          <w:rFonts w:eastAsia="Times New Roman"/>
          <w:u w:val="single"/>
          <w:lang w:eastAsia="el-GR"/>
        </w:rPr>
      </w:pPr>
      <w:r w:rsidRPr="00F34050">
        <w:rPr>
          <w:rFonts w:eastAsia="Times New Roman"/>
          <w:u w:val="single"/>
          <w:lang w:eastAsia="el-GR"/>
        </w:rPr>
        <w:t xml:space="preserve">Β3. </w:t>
      </w:r>
      <w:r w:rsidR="007C41D5" w:rsidRPr="00F34050">
        <w:rPr>
          <w:rFonts w:eastAsia="Times New Roman"/>
          <w:u w:val="single"/>
          <w:lang w:eastAsia="el-GR"/>
        </w:rPr>
        <w:t>Η απέλαση της Μαρίας για λόγους δημόσιας τάξης</w:t>
      </w:r>
    </w:p>
    <w:p w14:paraId="3355755E" w14:textId="3176BDF8" w:rsidR="007C41D5" w:rsidRPr="00F34050" w:rsidRDefault="007C41D5" w:rsidP="009E7224">
      <w:pPr>
        <w:shd w:val="clear" w:color="auto" w:fill="FFFFFF"/>
        <w:spacing w:after="160" w:line="360" w:lineRule="auto"/>
        <w:contextualSpacing/>
        <w:jc w:val="both"/>
        <w:rPr>
          <w:rFonts w:eastAsia="Times New Roman"/>
          <w:lang w:eastAsia="el-GR"/>
        </w:rPr>
      </w:pPr>
      <w:r w:rsidRPr="00F34050">
        <w:rPr>
          <w:rFonts w:eastAsia="Times New Roman"/>
          <w:lang w:eastAsia="el-GR"/>
        </w:rPr>
        <w:lastRenderedPageBreak/>
        <w:t>Τα δικαιώματα διαμονής των εργαζομένων υπόκεινται σε περιορισμούς για λόγους δημόσιας τάξης, δημόσιας ασφάλειας ή δημόσιας υγείας (ά</w:t>
      </w:r>
      <w:r w:rsidR="00A07CE0" w:rsidRPr="00F34050">
        <w:rPr>
          <w:rFonts w:eastAsia="Times New Roman"/>
          <w:lang w:eastAsia="el-GR"/>
        </w:rPr>
        <w:t>.</w:t>
      </w:r>
      <w:r w:rsidRPr="00F34050">
        <w:rPr>
          <w:rFonts w:eastAsia="Times New Roman"/>
          <w:lang w:eastAsia="el-GR"/>
        </w:rPr>
        <w:t xml:space="preserve"> 45 </w:t>
      </w:r>
      <w:r w:rsidR="00D54BD3" w:rsidRPr="00F34050">
        <w:rPr>
          <w:rFonts w:eastAsia="Times New Roman"/>
          <w:lang w:eastAsia="el-GR"/>
        </w:rPr>
        <w:t>(</w:t>
      </w:r>
      <w:r w:rsidRPr="00F34050">
        <w:rPr>
          <w:rFonts w:eastAsia="Times New Roman"/>
          <w:lang w:eastAsia="el-GR"/>
        </w:rPr>
        <w:t>3</w:t>
      </w:r>
      <w:r w:rsidR="00D54BD3" w:rsidRPr="00F34050">
        <w:rPr>
          <w:rFonts w:eastAsia="Times New Roman"/>
          <w:lang w:eastAsia="el-GR"/>
        </w:rPr>
        <w:t>)</w:t>
      </w:r>
      <w:r w:rsidRPr="00F34050">
        <w:rPr>
          <w:rFonts w:eastAsia="Times New Roman"/>
          <w:lang w:eastAsia="el-GR"/>
        </w:rPr>
        <w:t xml:space="preserve"> ΣΛΕΕ, </w:t>
      </w:r>
      <w:r w:rsidR="00D54BD3" w:rsidRPr="00F34050">
        <w:rPr>
          <w:rFonts w:eastAsia="Times New Roman"/>
          <w:lang w:eastAsia="el-GR"/>
        </w:rPr>
        <w:t>Ο</w:t>
      </w:r>
      <w:r w:rsidRPr="00F34050">
        <w:rPr>
          <w:rFonts w:eastAsia="Times New Roman"/>
          <w:lang w:eastAsia="el-GR"/>
        </w:rPr>
        <w:t>δηγία 2004/38).</w:t>
      </w:r>
      <w:r w:rsidR="00D54BD3" w:rsidRPr="00F34050">
        <w:rPr>
          <w:rFonts w:eastAsia="Times New Roman"/>
          <w:lang w:eastAsia="el-GR"/>
        </w:rPr>
        <w:t xml:space="preserve"> </w:t>
      </w:r>
      <w:r w:rsidRPr="00F34050">
        <w:rPr>
          <w:rFonts w:eastAsia="Times New Roman"/>
          <w:lang w:eastAsia="el-GR"/>
        </w:rPr>
        <w:t xml:space="preserve">Το </w:t>
      </w:r>
      <w:r w:rsidR="00360E4B" w:rsidRPr="00F34050">
        <w:rPr>
          <w:rFonts w:eastAsia="Times New Roman"/>
          <w:lang w:eastAsia="el-GR"/>
        </w:rPr>
        <w:t>ά.</w:t>
      </w:r>
      <w:r w:rsidRPr="00F34050">
        <w:rPr>
          <w:rFonts w:eastAsia="Times New Roman"/>
          <w:lang w:eastAsia="el-GR"/>
        </w:rPr>
        <w:t xml:space="preserve"> 27 της </w:t>
      </w:r>
      <w:r w:rsidR="00D54BD3" w:rsidRPr="00F34050">
        <w:rPr>
          <w:rFonts w:eastAsia="Times New Roman"/>
          <w:lang w:eastAsia="el-GR"/>
        </w:rPr>
        <w:t>Ο</w:t>
      </w:r>
      <w:r w:rsidRPr="00F34050">
        <w:rPr>
          <w:rFonts w:eastAsia="Times New Roman"/>
          <w:lang w:eastAsia="el-GR"/>
        </w:rPr>
        <w:t xml:space="preserve">δηγίας 2004/38 απαιτεί τα μέτρα που λαμβάνονται για λόγους δημόσιας τάξης να είναι αναλογικά και να βασίζονται αποκλειστικά στην προσωπική συμπεριφορά του ενδιαφερόμενου ατόμου. Η συμπεριφορά αυτή πρέπει να αντιπροσωπεύει μια </w:t>
      </w:r>
      <w:r w:rsidRPr="00F34050">
        <w:rPr>
          <w:rFonts w:eastAsia="Times New Roman"/>
          <w:i/>
          <w:iCs/>
          <w:lang w:eastAsia="el-GR"/>
        </w:rPr>
        <w:t>«γνήσια, παρούσα και αρκετά σοβαρή απειλή που επηρεάζει ένα από τα θεμελιώδη συμφέροντα της κοινωνίας».</w:t>
      </w:r>
      <w:r w:rsidR="00474968" w:rsidRPr="00F34050">
        <w:rPr>
          <w:rFonts w:eastAsia="Times New Roman"/>
          <w:i/>
          <w:iCs/>
          <w:lang w:eastAsia="el-GR"/>
        </w:rPr>
        <w:t xml:space="preserve"> </w:t>
      </w:r>
      <w:r w:rsidRPr="00F34050">
        <w:rPr>
          <w:rFonts w:eastAsia="Times New Roman"/>
          <w:lang w:eastAsia="el-GR"/>
        </w:rPr>
        <w:t xml:space="preserve">Το ποινικό αδίκημα της Μαρίας περιλαμβάνει σαφώς προσωπική συμπεριφορά, είναι πρόσφατο και πιθανόν </w:t>
      </w:r>
      <w:r w:rsidR="00360E4B" w:rsidRPr="00F34050">
        <w:rPr>
          <w:rFonts w:eastAsia="Times New Roman"/>
          <w:lang w:eastAsia="el-GR"/>
        </w:rPr>
        <w:t xml:space="preserve">ο </w:t>
      </w:r>
      <w:r w:rsidRPr="00F34050">
        <w:rPr>
          <w:rFonts w:eastAsia="Times New Roman"/>
          <w:lang w:eastAsia="el-GR"/>
        </w:rPr>
        <w:t>αρκετά σοβαρό</w:t>
      </w:r>
      <w:r w:rsidR="00360E4B" w:rsidRPr="00F34050">
        <w:rPr>
          <w:rFonts w:eastAsia="Times New Roman"/>
          <w:lang w:eastAsia="el-GR"/>
        </w:rPr>
        <w:t>ς</w:t>
      </w:r>
      <w:r w:rsidRPr="00F34050">
        <w:rPr>
          <w:rFonts w:eastAsia="Times New Roman"/>
          <w:lang w:eastAsia="el-GR"/>
        </w:rPr>
        <w:t xml:space="preserve"> χαρακτήρα</w:t>
      </w:r>
      <w:r w:rsidR="00360E4B" w:rsidRPr="00F34050">
        <w:rPr>
          <w:rFonts w:eastAsia="Times New Roman"/>
          <w:lang w:eastAsia="el-GR"/>
        </w:rPr>
        <w:t>ς του</w:t>
      </w:r>
      <w:r w:rsidRPr="00F34050">
        <w:rPr>
          <w:rFonts w:eastAsia="Times New Roman"/>
          <w:lang w:eastAsia="el-GR"/>
        </w:rPr>
        <w:t xml:space="preserve"> να δικαιολογήσει την απέλαση.</w:t>
      </w:r>
      <w:r w:rsidR="00360E4B" w:rsidRPr="00F34050">
        <w:rPr>
          <w:rFonts w:eastAsia="Times New Roman"/>
          <w:lang w:eastAsia="el-GR"/>
        </w:rPr>
        <w:t xml:space="preserve"> </w:t>
      </w:r>
      <w:r w:rsidRPr="00F34050">
        <w:rPr>
          <w:rFonts w:eastAsia="Times New Roman"/>
          <w:lang w:eastAsia="el-GR"/>
        </w:rPr>
        <w:t xml:space="preserve">Σύμφωνα με το </w:t>
      </w:r>
      <w:r w:rsidR="00360E4B" w:rsidRPr="00F34050">
        <w:rPr>
          <w:rFonts w:eastAsia="Times New Roman"/>
          <w:lang w:eastAsia="el-GR"/>
        </w:rPr>
        <w:t>ά.</w:t>
      </w:r>
      <w:r w:rsidRPr="00F34050">
        <w:rPr>
          <w:rFonts w:eastAsia="Times New Roman"/>
          <w:lang w:eastAsia="el-GR"/>
        </w:rPr>
        <w:t xml:space="preserve"> 28 της </w:t>
      </w:r>
      <w:r w:rsidR="00360E4B" w:rsidRPr="00F34050">
        <w:rPr>
          <w:rFonts w:eastAsia="Times New Roman"/>
          <w:lang w:eastAsia="el-GR"/>
        </w:rPr>
        <w:t>Ο</w:t>
      </w:r>
      <w:r w:rsidRPr="00F34050">
        <w:rPr>
          <w:rFonts w:eastAsia="Times New Roman"/>
          <w:lang w:eastAsia="el-GR"/>
        </w:rPr>
        <w:t xml:space="preserve">δηγίας 2004/38, πριν διατάξει την απέλαση, το </w:t>
      </w:r>
      <w:r w:rsidR="00360E4B" w:rsidRPr="00F34050">
        <w:rPr>
          <w:rFonts w:eastAsia="Times New Roman"/>
          <w:lang w:eastAsia="el-GR"/>
        </w:rPr>
        <w:t>ιταλ</w:t>
      </w:r>
      <w:r w:rsidRPr="00F34050">
        <w:rPr>
          <w:rFonts w:eastAsia="Times New Roman"/>
          <w:lang w:eastAsia="el-GR"/>
        </w:rPr>
        <w:t xml:space="preserve">ικό δικαστήριο πρέπει να λάβει υπόψη στοιχεία όπως το πόσο έζησε η </w:t>
      </w:r>
      <w:r w:rsidR="00360E4B" w:rsidRPr="00F34050">
        <w:rPr>
          <w:rFonts w:eastAsia="Times New Roman"/>
          <w:lang w:eastAsia="el-GR"/>
        </w:rPr>
        <w:t>Μαρία</w:t>
      </w:r>
      <w:r w:rsidRPr="00F34050">
        <w:rPr>
          <w:rFonts w:eastAsia="Times New Roman"/>
          <w:lang w:eastAsia="el-GR"/>
        </w:rPr>
        <w:t xml:space="preserve"> στην Ι</w:t>
      </w:r>
      <w:r w:rsidR="00360E4B" w:rsidRPr="00F34050">
        <w:rPr>
          <w:rFonts w:eastAsia="Times New Roman"/>
          <w:lang w:eastAsia="el-GR"/>
        </w:rPr>
        <w:t>ταλ</w:t>
      </w:r>
      <w:r w:rsidRPr="00F34050">
        <w:rPr>
          <w:rFonts w:eastAsia="Times New Roman"/>
          <w:lang w:eastAsia="el-GR"/>
        </w:rPr>
        <w:t xml:space="preserve">ία, την ηλικία της, την κατάσταση της υγείας της, την οικογενειακή και οικονομική </w:t>
      </w:r>
      <w:r w:rsidR="00474968" w:rsidRPr="00F34050">
        <w:rPr>
          <w:rFonts w:eastAsia="Times New Roman"/>
          <w:lang w:eastAsia="el-GR"/>
        </w:rPr>
        <w:t xml:space="preserve">της </w:t>
      </w:r>
      <w:r w:rsidRPr="00F34050">
        <w:rPr>
          <w:rFonts w:eastAsia="Times New Roman"/>
          <w:lang w:eastAsia="el-GR"/>
        </w:rPr>
        <w:t>κατάσταση, την κοινωνική και πολιτιστική ένταξ</w:t>
      </w:r>
      <w:r w:rsidR="00474968" w:rsidRPr="00F34050">
        <w:rPr>
          <w:rFonts w:eastAsia="Times New Roman"/>
          <w:lang w:eastAsia="el-GR"/>
        </w:rPr>
        <w:t>ή της</w:t>
      </w:r>
      <w:r w:rsidRPr="00F34050">
        <w:rPr>
          <w:rFonts w:eastAsia="Times New Roman"/>
          <w:lang w:eastAsia="el-GR"/>
        </w:rPr>
        <w:t xml:space="preserve"> στην Ι</w:t>
      </w:r>
      <w:r w:rsidR="00360E4B" w:rsidRPr="00F34050">
        <w:rPr>
          <w:rFonts w:eastAsia="Times New Roman"/>
          <w:lang w:eastAsia="el-GR"/>
        </w:rPr>
        <w:t>ταλί</w:t>
      </w:r>
      <w:r w:rsidRPr="00F34050">
        <w:rPr>
          <w:rFonts w:eastAsia="Times New Roman"/>
          <w:lang w:eastAsia="el-GR"/>
        </w:rPr>
        <w:t>α</w:t>
      </w:r>
      <w:r w:rsidR="00360E4B" w:rsidRPr="00F34050">
        <w:rPr>
          <w:rFonts w:eastAsia="Times New Roman"/>
          <w:lang w:eastAsia="el-GR"/>
        </w:rPr>
        <w:t xml:space="preserve"> </w:t>
      </w:r>
      <w:r w:rsidRPr="00F34050">
        <w:rPr>
          <w:rFonts w:eastAsia="Times New Roman"/>
          <w:lang w:eastAsia="el-GR"/>
        </w:rPr>
        <w:t>και τους δεσμούς της με τ</w:t>
      </w:r>
      <w:r w:rsidR="00360E4B" w:rsidRPr="00F34050">
        <w:rPr>
          <w:rFonts w:eastAsia="Times New Roman"/>
          <w:lang w:eastAsia="el-GR"/>
        </w:rPr>
        <w:t xml:space="preserve">ην Ελλάδα. </w:t>
      </w:r>
      <w:r w:rsidRPr="00F34050">
        <w:rPr>
          <w:rFonts w:eastAsia="Times New Roman"/>
          <w:lang w:eastAsia="el-GR"/>
        </w:rPr>
        <w:t xml:space="preserve">Η Μαρία είναι νέα, έχει ζήσει στην </w:t>
      </w:r>
      <w:r w:rsidR="00BB5B3C" w:rsidRPr="00F34050">
        <w:rPr>
          <w:rFonts w:eastAsia="Times New Roman"/>
          <w:lang w:eastAsia="el-GR"/>
        </w:rPr>
        <w:t>Ιταλ</w:t>
      </w:r>
      <w:r w:rsidRPr="00F34050">
        <w:rPr>
          <w:rFonts w:eastAsia="Times New Roman"/>
          <w:lang w:eastAsia="el-GR"/>
        </w:rPr>
        <w:t xml:space="preserve">ία μόνο για μικρό χρονικό διάστημα και έχει οικογενειακούς και κοινωνικούς δεσμούς με την Ελλάδα. Σε αυτή τη βάση, η Μαρία είναι πολύ απίθανο να δικαιούται την προστασία κατά της απέλασης που προβλέπεται στο </w:t>
      </w:r>
      <w:r w:rsidR="00360E4B" w:rsidRPr="00F34050">
        <w:rPr>
          <w:rFonts w:eastAsia="Times New Roman"/>
          <w:lang w:eastAsia="el-GR"/>
        </w:rPr>
        <w:t>ά.</w:t>
      </w:r>
      <w:r w:rsidRPr="00F34050">
        <w:rPr>
          <w:rFonts w:eastAsia="Times New Roman"/>
          <w:lang w:eastAsia="el-GR"/>
        </w:rPr>
        <w:t xml:space="preserve"> 27.Ωστόσο, η Μαρία </w:t>
      </w:r>
      <w:r w:rsidR="00474968" w:rsidRPr="00F34050">
        <w:rPr>
          <w:rFonts w:eastAsia="Times New Roman"/>
          <w:lang w:eastAsia="el-GR"/>
        </w:rPr>
        <w:t xml:space="preserve">απολαμβάνει </w:t>
      </w:r>
      <w:r w:rsidRPr="00F34050">
        <w:rPr>
          <w:rFonts w:eastAsia="Times New Roman"/>
          <w:lang w:eastAsia="el-GR"/>
        </w:rPr>
        <w:t>τα διαδικαστικά δικαιώματα και τις εγγυήσεις που παρέχει η οδηγία 2004/38. Έχει δικαίωμα να ειδοποιηθεί για τους λόγους στους οποίους βασίζεται η απόφαση, τ</w:t>
      </w:r>
      <w:r w:rsidR="009E1107">
        <w:rPr>
          <w:rFonts w:eastAsia="Times New Roman"/>
          <w:lang w:eastAsia="el-GR"/>
        </w:rPr>
        <w:t xml:space="preserve">ο </w:t>
      </w:r>
      <w:bookmarkStart w:id="2" w:name="_GoBack"/>
      <w:bookmarkEnd w:id="2"/>
      <w:r w:rsidRPr="00F34050">
        <w:rPr>
          <w:rFonts w:eastAsia="Times New Roman"/>
          <w:lang w:eastAsia="el-GR"/>
        </w:rPr>
        <w:t>δικαίωμα προσφυγής και δικαίωμα να παραμείνει στην Ιταλία εν αναμονή της ολοκλήρωσης της προσφυγής. Μπορεί, μετά από εύλογο χρονικό διάστημα και σε κάθε περίπτωση μετά από τρία χρόνια, να υποβάλει αίτηση για την άρση της εντολής με την αιτιολογία ότι έχει υπάρξει ουσιαστική αλλαγή στις συνθήκες που δικαιολογούσαν την απόφαση αποκλεισμού. ( Άρθρα 30–32, Οδηγία 2004/38).</w:t>
      </w:r>
    </w:p>
    <w:p w14:paraId="70846DEA" w14:textId="77777777" w:rsidR="007C41D5" w:rsidRPr="00F34050" w:rsidRDefault="007C41D5" w:rsidP="00DC7A04">
      <w:pPr>
        <w:spacing w:after="160" w:line="360" w:lineRule="auto"/>
        <w:contextualSpacing/>
        <w:jc w:val="both"/>
        <w:rPr>
          <w:rFonts w:eastAsiaTheme="minorHAnsi"/>
          <w:lang w:eastAsia="en-US"/>
        </w:rPr>
      </w:pPr>
    </w:p>
    <w:p w14:paraId="0DA8DB93" w14:textId="77777777" w:rsidR="00E16372" w:rsidRPr="00F34050" w:rsidRDefault="00E16372" w:rsidP="00E16372">
      <w:pPr>
        <w:spacing w:before="154" w:line="360" w:lineRule="auto"/>
        <w:contextualSpacing/>
        <w:jc w:val="both"/>
        <w:textAlignment w:val="baseline"/>
        <w:rPr>
          <w:rFonts w:eastAsia="Times New Roman"/>
          <w:lang w:eastAsia="el-GR"/>
        </w:rPr>
      </w:pPr>
      <w:r w:rsidRPr="00F34050">
        <w:rPr>
          <w:bCs/>
        </w:rPr>
        <w:t xml:space="preserve">2. </w:t>
      </w:r>
      <w:r w:rsidRPr="00F34050">
        <w:rPr>
          <w:rFonts w:eastAsiaTheme="minorEastAsia"/>
          <w:lang w:eastAsia="el-GR"/>
        </w:rPr>
        <w:t>Στοιχεία της έννοιας της εγκατάστασης είναι: 1. άσκηση οικονομικής (κερδοσκοπικής) δραστηριότητας, στην οποία ενυπάρχει το διασυνοριακό στοιχείο, 2. μη μισθωτή ή ανεξάρτητη δραστηριότητα, 3. άσκηση της δραστηριότητας,  κατά σταθερό και συνεχή τρόπο.</w:t>
      </w:r>
    </w:p>
    <w:p w14:paraId="21FC544C" w14:textId="77777777" w:rsidR="00E16372" w:rsidRPr="00F34050" w:rsidRDefault="00E16372" w:rsidP="00E16372">
      <w:pPr>
        <w:spacing w:before="96" w:line="360" w:lineRule="auto"/>
        <w:contextualSpacing/>
        <w:jc w:val="both"/>
        <w:textAlignment w:val="baseline"/>
        <w:rPr>
          <w:rFonts w:eastAsia="Times New Roman"/>
          <w:lang w:eastAsia="el-GR"/>
        </w:rPr>
      </w:pPr>
      <w:r w:rsidRPr="00F34050">
        <w:rPr>
          <w:rFonts w:eastAsiaTheme="minorEastAsia"/>
          <w:lang w:eastAsia="el-GR"/>
        </w:rPr>
        <w:t xml:space="preserve">Στοιχεία της έννοιας της υπηρεσίας είναι : 1. παροχή έναντι αμοιβής, 2. η παροχή πρέπει να εμπλέκει δύο τουλάχιστον κράτη,   προϋποθέτει δηλαδή διάβαση των συνόρων  (διασυνοριακό στοιχείο), έτσι ώστε το κράτος του παρέχοντος να διαφέρει από αυτό του αποδέκτη της υπηρεσίας, 3. η παροχή πρέπει να έχει προσωρινό χαρακτήρα, εκτιμώμενη και με βάση τη συχνότητα, την περιοδικότητα και τη συνέχειά της, 4. δεν αποκλείεται η ύπαρξη στο κράτος μέλος υποδοχής μιας ορισμένης υποδομής, στο μέτρο που αυτή είναι απαραίτητη για την εκπλήρωση της παροχής. </w:t>
      </w:r>
      <w:r w:rsidRPr="00F34050">
        <w:rPr>
          <w:rFonts w:eastAsia="Times New Roman"/>
          <w:lang w:eastAsia="el-GR"/>
        </w:rPr>
        <w:t xml:space="preserve">Οι </w:t>
      </w:r>
      <w:r w:rsidRPr="00F34050">
        <w:rPr>
          <w:rFonts w:eastAsia="Times New Roman"/>
          <w:lang w:eastAsia="el-GR"/>
        </w:rPr>
        <w:lastRenderedPageBreak/>
        <w:t>δύο έννοιες και συνεπώς τα δικαιώματα είναι δύσκολο να διακριθούν, εξάλλου, κατά τη νομολογία του ΔΕΕ οι διατάξεις της Συνθήκης για την παροχή των υπηρεσιών έχουν επικουρικό χαρακτήρα αυτών για την ελευθερία εγκαταστάσεως. Και στις δύο περιπτώσεις ο σκοπός είναι η άσκηση μη μισθωτής δραστηριότητας σε άλλο Κράτος- μέλος. Βασικό κριτήριο διάκρισης μεταξύ των δύο ελευθεριών είναι: η σταθερότητα, η διάρκεια και η συνέχεια κατά την άσκηση μιας επαγγελματικής δραστηριότητας στο έδαφος άλλου κράτους μέλους (εγκατάσταση), σε αντιδιαστολή με τον προσωρινό χαρακτήρα, καθώς και την έλλειψη συνέχειας και σταθερότητας (υπηρεσία).</w:t>
      </w:r>
    </w:p>
    <w:p w14:paraId="683A9C6F" w14:textId="77777777" w:rsidR="00E16372" w:rsidRPr="00F34050" w:rsidRDefault="00E16372" w:rsidP="00E16372">
      <w:pPr>
        <w:spacing w:after="160" w:line="360" w:lineRule="auto"/>
        <w:contextualSpacing/>
        <w:jc w:val="both"/>
        <w:rPr>
          <w:rFonts w:eastAsiaTheme="minorHAnsi"/>
          <w:lang w:eastAsia="en-US"/>
        </w:rPr>
      </w:pPr>
    </w:p>
    <w:p w14:paraId="237990E3" w14:textId="5E985BEA" w:rsidR="007C41D5" w:rsidRPr="00F34050" w:rsidRDefault="00997970" w:rsidP="00DC7A04">
      <w:pPr>
        <w:tabs>
          <w:tab w:val="left" w:pos="567"/>
        </w:tabs>
        <w:spacing w:line="360" w:lineRule="auto"/>
        <w:contextualSpacing/>
        <w:jc w:val="both"/>
        <w:rPr>
          <w:bCs/>
        </w:rPr>
      </w:pPr>
      <w:r w:rsidRPr="00F34050">
        <w:rPr>
          <w:bCs/>
        </w:rPr>
        <w:t xml:space="preserve">3. </w:t>
      </w:r>
      <w:r w:rsidRPr="00F34050">
        <w:rPr>
          <w:rFonts w:eastAsiaTheme="minorEastAsia"/>
        </w:rPr>
        <w:t xml:space="preserve">Σύμφωνα με το ά 45 παρ. 3 ΣΛΕΕ τα δικαιώματα, που συνεπάγεται η ελεύθερη κυκλοφορία των εργαζομένων, τελούν </w:t>
      </w:r>
      <w:r w:rsidRPr="00F34050">
        <w:rPr>
          <w:rFonts w:eastAsiaTheme="minorEastAsia"/>
          <w:i/>
          <w:iCs/>
        </w:rPr>
        <w:t>«υπό την επιφύλαξη των περιορισμών που δικαιολογούνται για λόγους δημόσιας τάξης, δημόσιας ασφάλειας και δημόσιας υγείας»</w:t>
      </w:r>
      <w:r w:rsidRPr="00F34050">
        <w:rPr>
          <w:rFonts w:eastAsiaTheme="minorEastAsia"/>
        </w:rPr>
        <w:t xml:space="preserve"> και</w:t>
      </w:r>
      <w:r w:rsidRPr="00F34050">
        <w:rPr>
          <w:rFonts w:eastAsia="+mn-ea"/>
        </w:rPr>
        <w:t xml:space="preserve"> που δικαιολογούνται από επιτακτικές απαιτήσεις δημοσίου συμφέροντος </w:t>
      </w:r>
      <w:r w:rsidRPr="00F34050">
        <w:rPr>
          <w:rFonts w:eastAsiaTheme="minorEastAsia"/>
        </w:rPr>
        <w:t xml:space="preserve">Τα Κράτη-μέλη διαθέτουν την διακριτική ευχέρεια να προσδιορίσουν τις περιπτώσεις κατά τις οποίες θίγεται η δημόσια τάξη και η δημόσια ασφάλεια. Η διακριτική αυτή ευχέρεια, πάντως, ελέγχεται από το Δικαστήριο. </w:t>
      </w:r>
      <w:r w:rsidRPr="00F34050">
        <w:rPr>
          <w:rFonts w:eastAsia="+mn-ea"/>
        </w:rPr>
        <w:t>Οι περιορισμοί αυτοί θα πρέπει να εφαρμόζονται χωρίς διάκριση, δηλαδή  εφαρμόζονται κατά τον ίδιο τρόπο στους Έλληνες και τους υπηκόους άλλων Κρατών-μελών, και είναι ανάλογοι με τον σκοπό που επιδιώκουν.</w:t>
      </w:r>
    </w:p>
    <w:sectPr w:rsidR="007C41D5" w:rsidRPr="00F340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97752"/>
    <w:multiLevelType w:val="multilevel"/>
    <w:tmpl w:val="BA48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7323E8"/>
    <w:multiLevelType w:val="hybridMultilevel"/>
    <w:tmpl w:val="6EAC57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568513D"/>
    <w:multiLevelType w:val="multilevel"/>
    <w:tmpl w:val="A83E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2E16BF"/>
    <w:multiLevelType w:val="multilevel"/>
    <w:tmpl w:val="A3DC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257B27"/>
    <w:multiLevelType w:val="multilevel"/>
    <w:tmpl w:val="A9DC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C61717"/>
    <w:multiLevelType w:val="hybridMultilevel"/>
    <w:tmpl w:val="2480C958"/>
    <w:lvl w:ilvl="0" w:tplc="B2C4AF90">
      <w:start w:val="1"/>
      <w:numFmt w:val="bullet"/>
      <w:lvlText w:val=""/>
      <w:lvlJc w:val="left"/>
      <w:pPr>
        <w:tabs>
          <w:tab w:val="num" w:pos="720"/>
        </w:tabs>
        <w:ind w:left="720" w:hanging="360"/>
      </w:pPr>
      <w:rPr>
        <w:rFonts w:ascii="Wingdings 3" w:hAnsi="Wingdings 3" w:hint="default"/>
      </w:rPr>
    </w:lvl>
    <w:lvl w:ilvl="1" w:tplc="C72A085E" w:tentative="1">
      <w:start w:val="1"/>
      <w:numFmt w:val="bullet"/>
      <w:lvlText w:val=""/>
      <w:lvlJc w:val="left"/>
      <w:pPr>
        <w:tabs>
          <w:tab w:val="num" w:pos="1440"/>
        </w:tabs>
        <w:ind w:left="1440" w:hanging="360"/>
      </w:pPr>
      <w:rPr>
        <w:rFonts w:ascii="Wingdings 3" w:hAnsi="Wingdings 3" w:hint="default"/>
      </w:rPr>
    </w:lvl>
    <w:lvl w:ilvl="2" w:tplc="69348040" w:tentative="1">
      <w:start w:val="1"/>
      <w:numFmt w:val="bullet"/>
      <w:lvlText w:val=""/>
      <w:lvlJc w:val="left"/>
      <w:pPr>
        <w:tabs>
          <w:tab w:val="num" w:pos="2160"/>
        </w:tabs>
        <w:ind w:left="2160" w:hanging="360"/>
      </w:pPr>
      <w:rPr>
        <w:rFonts w:ascii="Wingdings 3" w:hAnsi="Wingdings 3" w:hint="default"/>
      </w:rPr>
    </w:lvl>
    <w:lvl w:ilvl="3" w:tplc="9CD655B8" w:tentative="1">
      <w:start w:val="1"/>
      <w:numFmt w:val="bullet"/>
      <w:lvlText w:val=""/>
      <w:lvlJc w:val="left"/>
      <w:pPr>
        <w:tabs>
          <w:tab w:val="num" w:pos="2880"/>
        </w:tabs>
        <w:ind w:left="2880" w:hanging="360"/>
      </w:pPr>
      <w:rPr>
        <w:rFonts w:ascii="Wingdings 3" w:hAnsi="Wingdings 3" w:hint="default"/>
      </w:rPr>
    </w:lvl>
    <w:lvl w:ilvl="4" w:tplc="010093E2" w:tentative="1">
      <w:start w:val="1"/>
      <w:numFmt w:val="bullet"/>
      <w:lvlText w:val=""/>
      <w:lvlJc w:val="left"/>
      <w:pPr>
        <w:tabs>
          <w:tab w:val="num" w:pos="3600"/>
        </w:tabs>
        <w:ind w:left="3600" w:hanging="360"/>
      </w:pPr>
      <w:rPr>
        <w:rFonts w:ascii="Wingdings 3" w:hAnsi="Wingdings 3" w:hint="default"/>
      </w:rPr>
    </w:lvl>
    <w:lvl w:ilvl="5" w:tplc="A7A62BEC" w:tentative="1">
      <w:start w:val="1"/>
      <w:numFmt w:val="bullet"/>
      <w:lvlText w:val=""/>
      <w:lvlJc w:val="left"/>
      <w:pPr>
        <w:tabs>
          <w:tab w:val="num" w:pos="4320"/>
        </w:tabs>
        <w:ind w:left="4320" w:hanging="360"/>
      </w:pPr>
      <w:rPr>
        <w:rFonts w:ascii="Wingdings 3" w:hAnsi="Wingdings 3" w:hint="default"/>
      </w:rPr>
    </w:lvl>
    <w:lvl w:ilvl="6" w:tplc="5EE25908" w:tentative="1">
      <w:start w:val="1"/>
      <w:numFmt w:val="bullet"/>
      <w:lvlText w:val=""/>
      <w:lvlJc w:val="left"/>
      <w:pPr>
        <w:tabs>
          <w:tab w:val="num" w:pos="5040"/>
        </w:tabs>
        <w:ind w:left="5040" w:hanging="360"/>
      </w:pPr>
      <w:rPr>
        <w:rFonts w:ascii="Wingdings 3" w:hAnsi="Wingdings 3" w:hint="default"/>
      </w:rPr>
    </w:lvl>
    <w:lvl w:ilvl="7" w:tplc="DB5E2232" w:tentative="1">
      <w:start w:val="1"/>
      <w:numFmt w:val="bullet"/>
      <w:lvlText w:val=""/>
      <w:lvlJc w:val="left"/>
      <w:pPr>
        <w:tabs>
          <w:tab w:val="num" w:pos="5760"/>
        </w:tabs>
        <w:ind w:left="5760" w:hanging="360"/>
      </w:pPr>
      <w:rPr>
        <w:rFonts w:ascii="Wingdings 3" w:hAnsi="Wingdings 3" w:hint="default"/>
      </w:rPr>
    </w:lvl>
    <w:lvl w:ilvl="8" w:tplc="62C451BC" w:tentative="1">
      <w:start w:val="1"/>
      <w:numFmt w:val="bullet"/>
      <w:lvlText w:val=""/>
      <w:lvlJc w:val="left"/>
      <w:pPr>
        <w:tabs>
          <w:tab w:val="num" w:pos="6480"/>
        </w:tabs>
        <w:ind w:left="6480" w:hanging="360"/>
      </w:pPr>
      <w:rPr>
        <w:rFonts w:ascii="Wingdings 3" w:hAnsi="Wingdings 3" w:hint="default"/>
      </w:rPr>
    </w:lvl>
  </w:abstractNum>
  <w:abstractNum w:abstractNumId="6">
    <w:nsid w:val="311125AB"/>
    <w:multiLevelType w:val="multilevel"/>
    <w:tmpl w:val="7B0E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B6656C"/>
    <w:multiLevelType w:val="multilevel"/>
    <w:tmpl w:val="46A6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B750ED"/>
    <w:multiLevelType w:val="hybridMultilevel"/>
    <w:tmpl w:val="91CCB2CE"/>
    <w:lvl w:ilvl="0" w:tplc="1C3C6ACA">
      <w:start w:val="1"/>
      <w:numFmt w:val="bullet"/>
      <w:lvlText w:val=""/>
      <w:lvlJc w:val="left"/>
      <w:pPr>
        <w:tabs>
          <w:tab w:val="num" w:pos="720"/>
        </w:tabs>
        <w:ind w:left="720" w:hanging="360"/>
      </w:pPr>
      <w:rPr>
        <w:rFonts w:ascii="Wingdings 3" w:hAnsi="Wingdings 3" w:hint="default"/>
      </w:rPr>
    </w:lvl>
    <w:lvl w:ilvl="1" w:tplc="4CA25F84" w:tentative="1">
      <w:start w:val="1"/>
      <w:numFmt w:val="bullet"/>
      <w:lvlText w:val=""/>
      <w:lvlJc w:val="left"/>
      <w:pPr>
        <w:tabs>
          <w:tab w:val="num" w:pos="1440"/>
        </w:tabs>
        <w:ind w:left="1440" w:hanging="360"/>
      </w:pPr>
      <w:rPr>
        <w:rFonts w:ascii="Wingdings 3" w:hAnsi="Wingdings 3" w:hint="default"/>
      </w:rPr>
    </w:lvl>
    <w:lvl w:ilvl="2" w:tplc="DE68CDCA" w:tentative="1">
      <w:start w:val="1"/>
      <w:numFmt w:val="bullet"/>
      <w:lvlText w:val=""/>
      <w:lvlJc w:val="left"/>
      <w:pPr>
        <w:tabs>
          <w:tab w:val="num" w:pos="2160"/>
        </w:tabs>
        <w:ind w:left="2160" w:hanging="360"/>
      </w:pPr>
      <w:rPr>
        <w:rFonts w:ascii="Wingdings 3" w:hAnsi="Wingdings 3" w:hint="default"/>
      </w:rPr>
    </w:lvl>
    <w:lvl w:ilvl="3" w:tplc="7152CBE4" w:tentative="1">
      <w:start w:val="1"/>
      <w:numFmt w:val="bullet"/>
      <w:lvlText w:val=""/>
      <w:lvlJc w:val="left"/>
      <w:pPr>
        <w:tabs>
          <w:tab w:val="num" w:pos="2880"/>
        </w:tabs>
        <w:ind w:left="2880" w:hanging="360"/>
      </w:pPr>
      <w:rPr>
        <w:rFonts w:ascii="Wingdings 3" w:hAnsi="Wingdings 3" w:hint="default"/>
      </w:rPr>
    </w:lvl>
    <w:lvl w:ilvl="4" w:tplc="6DE8BE24" w:tentative="1">
      <w:start w:val="1"/>
      <w:numFmt w:val="bullet"/>
      <w:lvlText w:val=""/>
      <w:lvlJc w:val="left"/>
      <w:pPr>
        <w:tabs>
          <w:tab w:val="num" w:pos="3600"/>
        </w:tabs>
        <w:ind w:left="3600" w:hanging="360"/>
      </w:pPr>
      <w:rPr>
        <w:rFonts w:ascii="Wingdings 3" w:hAnsi="Wingdings 3" w:hint="default"/>
      </w:rPr>
    </w:lvl>
    <w:lvl w:ilvl="5" w:tplc="26CA9EA0" w:tentative="1">
      <w:start w:val="1"/>
      <w:numFmt w:val="bullet"/>
      <w:lvlText w:val=""/>
      <w:lvlJc w:val="left"/>
      <w:pPr>
        <w:tabs>
          <w:tab w:val="num" w:pos="4320"/>
        </w:tabs>
        <w:ind w:left="4320" w:hanging="360"/>
      </w:pPr>
      <w:rPr>
        <w:rFonts w:ascii="Wingdings 3" w:hAnsi="Wingdings 3" w:hint="default"/>
      </w:rPr>
    </w:lvl>
    <w:lvl w:ilvl="6" w:tplc="CDE42D72" w:tentative="1">
      <w:start w:val="1"/>
      <w:numFmt w:val="bullet"/>
      <w:lvlText w:val=""/>
      <w:lvlJc w:val="left"/>
      <w:pPr>
        <w:tabs>
          <w:tab w:val="num" w:pos="5040"/>
        </w:tabs>
        <w:ind w:left="5040" w:hanging="360"/>
      </w:pPr>
      <w:rPr>
        <w:rFonts w:ascii="Wingdings 3" w:hAnsi="Wingdings 3" w:hint="default"/>
      </w:rPr>
    </w:lvl>
    <w:lvl w:ilvl="7" w:tplc="DF6270C4" w:tentative="1">
      <w:start w:val="1"/>
      <w:numFmt w:val="bullet"/>
      <w:lvlText w:val=""/>
      <w:lvlJc w:val="left"/>
      <w:pPr>
        <w:tabs>
          <w:tab w:val="num" w:pos="5760"/>
        </w:tabs>
        <w:ind w:left="5760" w:hanging="360"/>
      </w:pPr>
      <w:rPr>
        <w:rFonts w:ascii="Wingdings 3" w:hAnsi="Wingdings 3" w:hint="default"/>
      </w:rPr>
    </w:lvl>
    <w:lvl w:ilvl="8" w:tplc="79448C86" w:tentative="1">
      <w:start w:val="1"/>
      <w:numFmt w:val="bullet"/>
      <w:lvlText w:val=""/>
      <w:lvlJc w:val="left"/>
      <w:pPr>
        <w:tabs>
          <w:tab w:val="num" w:pos="6480"/>
        </w:tabs>
        <w:ind w:left="6480" w:hanging="360"/>
      </w:pPr>
      <w:rPr>
        <w:rFonts w:ascii="Wingdings 3" w:hAnsi="Wingdings 3" w:hint="default"/>
      </w:rPr>
    </w:lvl>
  </w:abstractNum>
  <w:abstractNum w:abstractNumId="9">
    <w:nsid w:val="4A240B41"/>
    <w:multiLevelType w:val="multilevel"/>
    <w:tmpl w:val="BDCA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B31A33"/>
    <w:multiLevelType w:val="hybridMultilevel"/>
    <w:tmpl w:val="8ECA4EEA"/>
    <w:lvl w:ilvl="0" w:tplc="DA407AF4">
      <w:start w:val="1"/>
      <w:numFmt w:val="bullet"/>
      <w:lvlText w:val=""/>
      <w:lvlJc w:val="left"/>
      <w:pPr>
        <w:tabs>
          <w:tab w:val="num" w:pos="720"/>
        </w:tabs>
        <w:ind w:left="720" w:hanging="360"/>
      </w:pPr>
      <w:rPr>
        <w:rFonts w:ascii="Wingdings 3" w:hAnsi="Wingdings 3" w:hint="default"/>
      </w:rPr>
    </w:lvl>
    <w:lvl w:ilvl="1" w:tplc="74429ABC" w:tentative="1">
      <w:start w:val="1"/>
      <w:numFmt w:val="bullet"/>
      <w:lvlText w:val=""/>
      <w:lvlJc w:val="left"/>
      <w:pPr>
        <w:tabs>
          <w:tab w:val="num" w:pos="1440"/>
        </w:tabs>
        <w:ind w:left="1440" w:hanging="360"/>
      </w:pPr>
      <w:rPr>
        <w:rFonts w:ascii="Wingdings 3" w:hAnsi="Wingdings 3" w:hint="default"/>
      </w:rPr>
    </w:lvl>
    <w:lvl w:ilvl="2" w:tplc="8B943E50" w:tentative="1">
      <w:start w:val="1"/>
      <w:numFmt w:val="bullet"/>
      <w:lvlText w:val=""/>
      <w:lvlJc w:val="left"/>
      <w:pPr>
        <w:tabs>
          <w:tab w:val="num" w:pos="2160"/>
        </w:tabs>
        <w:ind w:left="2160" w:hanging="360"/>
      </w:pPr>
      <w:rPr>
        <w:rFonts w:ascii="Wingdings 3" w:hAnsi="Wingdings 3" w:hint="default"/>
      </w:rPr>
    </w:lvl>
    <w:lvl w:ilvl="3" w:tplc="0D9C8E24" w:tentative="1">
      <w:start w:val="1"/>
      <w:numFmt w:val="bullet"/>
      <w:lvlText w:val=""/>
      <w:lvlJc w:val="left"/>
      <w:pPr>
        <w:tabs>
          <w:tab w:val="num" w:pos="2880"/>
        </w:tabs>
        <w:ind w:left="2880" w:hanging="360"/>
      </w:pPr>
      <w:rPr>
        <w:rFonts w:ascii="Wingdings 3" w:hAnsi="Wingdings 3" w:hint="default"/>
      </w:rPr>
    </w:lvl>
    <w:lvl w:ilvl="4" w:tplc="7840B37A" w:tentative="1">
      <w:start w:val="1"/>
      <w:numFmt w:val="bullet"/>
      <w:lvlText w:val=""/>
      <w:lvlJc w:val="left"/>
      <w:pPr>
        <w:tabs>
          <w:tab w:val="num" w:pos="3600"/>
        </w:tabs>
        <w:ind w:left="3600" w:hanging="360"/>
      </w:pPr>
      <w:rPr>
        <w:rFonts w:ascii="Wingdings 3" w:hAnsi="Wingdings 3" w:hint="default"/>
      </w:rPr>
    </w:lvl>
    <w:lvl w:ilvl="5" w:tplc="E378EF32" w:tentative="1">
      <w:start w:val="1"/>
      <w:numFmt w:val="bullet"/>
      <w:lvlText w:val=""/>
      <w:lvlJc w:val="left"/>
      <w:pPr>
        <w:tabs>
          <w:tab w:val="num" w:pos="4320"/>
        </w:tabs>
        <w:ind w:left="4320" w:hanging="360"/>
      </w:pPr>
      <w:rPr>
        <w:rFonts w:ascii="Wingdings 3" w:hAnsi="Wingdings 3" w:hint="default"/>
      </w:rPr>
    </w:lvl>
    <w:lvl w:ilvl="6" w:tplc="D39CBB86" w:tentative="1">
      <w:start w:val="1"/>
      <w:numFmt w:val="bullet"/>
      <w:lvlText w:val=""/>
      <w:lvlJc w:val="left"/>
      <w:pPr>
        <w:tabs>
          <w:tab w:val="num" w:pos="5040"/>
        </w:tabs>
        <w:ind w:left="5040" w:hanging="360"/>
      </w:pPr>
      <w:rPr>
        <w:rFonts w:ascii="Wingdings 3" w:hAnsi="Wingdings 3" w:hint="default"/>
      </w:rPr>
    </w:lvl>
    <w:lvl w:ilvl="7" w:tplc="A1F6E894" w:tentative="1">
      <w:start w:val="1"/>
      <w:numFmt w:val="bullet"/>
      <w:lvlText w:val=""/>
      <w:lvlJc w:val="left"/>
      <w:pPr>
        <w:tabs>
          <w:tab w:val="num" w:pos="5760"/>
        </w:tabs>
        <w:ind w:left="5760" w:hanging="360"/>
      </w:pPr>
      <w:rPr>
        <w:rFonts w:ascii="Wingdings 3" w:hAnsi="Wingdings 3" w:hint="default"/>
      </w:rPr>
    </w:lvl>
    <w:lvl w:ilvl="8" w:tplc="273EC394" w:tentative="1">
      <w:start w:val="1"/>
      <w:numFmt w:val="bullet"/>
      <w:lvlText w:val=""/>
      <w:lvlJc w:val="left"/>
      <w:pPr>
        <w:tabs>
          <w:tab w:val="num" w:pos="6480"/>
        </w:tabs>
        <w:ind w:left="6480" w:hanging="360"/>
      </w:pPr>
      <w:rPr>
        <w:rFonts w:ascii="Wingdings 3" w:hAnsi="Wingdings 3" w:hint="default"/>
      </w:rPr>
    </w:lvl>
  </w:abstractNum>
  <w:abstractNum w:abstractNumId="11">
    <w:nsid w:val="75965A69"/>
    <w:multiLevelType w:val="hybridMultilevel"/>
    <w:tmpl w:val="63F4FDD8"/>
    <w:lvl w:ilvl="0" w:tplc="061A664E">
      <w:start w:val="1"/>
      <w:numFmt w:val="bullet"/>
      <w:lvlText w:val=""/>
      <w:lvlJc w:val="left"/>
      <w:pPr>
        <w:tabs>
          <w:tab w:val="num" w:pos="720"/>
        </w:tabs>
        <w:ind w:left="720" w:hanging="360"/>
      </w:pPr>
      <w:rPr>
        <w:rFonts w:ascii="Wingdings 3" w:hAnsi="Wingdings 3" w:hint="default"/>
      </w:rPr>
    </w:lvl>
    <w:lvl w:ilvl="1" w:tplc="52304D8C" w:tentative="1">
      <w:start w:val="1"/>
      <w:numFmt w:val="bullet"/>
      <w:lvlText w:val=""/>
      <w:lvlJc w:val="left"/>
      <w:pPr>
        <w:tabs>
          <w:tab w:val="num" w:pos="1440"/>
        </w:tabs>
        <w:ind w:left="1440" w:hanging="360"/>
      </w:pPr>
      <w:rPr>
        <w:rFonts w:ascii="Wingdings 3" w:hAnsi="Wingdings 3" w:hint="default"/>
      </w:rPr>
    </w:lvl>
    <w:lvl w:ilvl="2" w:tplc="76F87C82" w:tentative="1">
      <w:start w:val="1"/>
      <w:numFmt w:val="bullet"/>
      <w:lvlText w:val=""/>
      <w:lvlJc w:val="left"/>
      <w:pPr>
        <w:tabs>
          <w:tab w:val="num" w:pos="2160"/>
        </w:tabs>
        <w:ind w:left="2160" w:hanging="360"/>
      </w:pPr>
      <w:rPr>
        <w:rFonts w:ascii="Wingdings 3" w:hAnsi="Wingdings 3" w:hint="default"/>
      </w:rPr>
    </w:lvl>
    <w:lvl w:ilvl="3" w:tplc="FCA25798" w:tentative="1">
      <w:start w:val="1"/>
      <w:numFmt w:val="bullet"/>
      <w:lvlText w:val=""/>
      <w:lvlJc w:val="left"/>
      <w:pPr>
        <w:tabs>
          <w:tab w:val="num" w:pos="2880"/>
        </w:tabs>
        <w:ind w:left="2880" w:hanging="360"/>
      </w:pPr>
      <w:rPr>
        <w:rFonts w:ascii="Wingdings 3" w:hAnsi="Wingdings 3" w:hint="default"/>
      </w:rPr>
    </w:lvl>
    <w:lvl w:ilvl="4" w:tplc="C6A2AA72" w:tentative="1">
      <w:start w:val="1"/>
      <w:numFmt w:val="bullet"/>
      <w:lvlText w:val=""/>
      <w:lvlJc w:val="left"/>
      <w:pPr>
        <w:tabs>
          <w:tab w:val="num" w:pos="3600"/>
        </w:tabs>
        <w:ind w:left="3600" w:hanging="360"/>
      </w:pPr>
      <w:rPr>
        <w:rFonts w:ascii="Wingdings 3" w:hAnsi="Wingdings 3" w:hint="default"/>
      </w:rPr>
    </w:lvl>
    <w:lvl w:ilvl="5" w:tplc="7F623002" w:tentative="1">
      <w:start w:val="1"/>
      <w:numFmt w:val="bullet"/>
      <w:lvlText w:val=""/>
      <w:lvlJc w:val="left"/>
      <w:pPr>
        <w:tabs>
          <w:tab w:val="num" w:pos="4320"/>
        </w:tabs>
        <w:ind w:left="4320" w:hanging="360"/>
      </w:pPr>
      <w:rPr>
        <w:rFonts w:ascii="Wingdings 3" w:hAnsi="Wingdings 3" w:hint="default"/>
      </w:rPr>
    </w:lvl>
    <w:lvl w:ilvl="6" w:tplc="46FA49E8" w:tentative="1">
      <w:start w:val="1"/>
      <w:numFmt w:val="bullet"/>
      <w:lvlText w:val=""/>
      <w:lvlJc w:val="left"/>
      <w:pPr>
        <w:tabs>
          <w:tab w:val="num" w:pos="5040"/>
        </w:tabs>
        <w:ind w:left="5040" w:hanging="360"/>
      </w:pPr>
      <w:rPr>
        <w:rFonts w:ascii="Wingdings 3" w:hAnsi="Wingdings 3" w:hint="default"/>
      </w:rPr>
    </w:lvl>
    <w:lvl w:ilvl="7" w:tplc="9B06B678" w:tentative="1">
      <w:start w:val="1"/>
      <w:numFmt w:val="bullet"/>
      <w:lvlText w:val=""/>
      <w:lvlJc w:val="left"/>
      <w:pPr>
        <w:tabs>
          <w:tab w:val="num" w:pos="5760"/>
        </w:tabs>
        <w:ind w:left="5760" w:hanging="360"/>
      </w:pPr>
      <w:rPr>
        <w:rFonts w:ascii="Wingdings 3" w:hAnsi="Wingdings 3" w:hint="default"/>
      </w:rPr>
    </w:lvl>
    <w:lvl w:ilvl="8" w:tplc="CA6E9A2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4"/>
  </w:num>
  <w:num w:numId="4">
    <w:abstractNumId w:val="7"/>
  </w:num>
  <w:num w:numId="5">
    <w:abstractNumId w:val="0"/>
  </w:num>
  <w:num w:numId="6">
    <w:abstractNumId w:val="6"/>
  </w:num>
  <w:num w:numId="7">
    <w:abstractNumId w:val="9"/>
  </w:num>
  <w:num w:numId="8">
    <w:abstractNumId w:val="2"/>
  </w:num>
  <w:num w:numId="9">
    <w:abstractNumId w:val="8"/>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8"/>
    <w:rsid w:val="00027C7F"/>
    <w:rsid w:val="000A0785"/>
    <w:rsid w:val="000A15DB"/>
    <w:rsid w:val="000C0B99"/>
    <w:rsid w:val="000F3D2D"/>
    <w:rsid w:val="0014025B"/>
    <w:rsid w:val="001512D2"/>
    <w:rsid w:val="00182C87"/>
    <w:rsid w:val="001F1FDE"/>
    <w:rsid w:val="001F231A"/>
    <w:rsid w:val="001F778F"/>
    <w:rsid w:val="0026740C"/>
    <w:rsid w:val="002734E1"/>
    <w:rsid w:val="0032535B"/>
    <w:rsid w:val="003355E7"/>
    <w:rsid w:val="00360E4B"/>
    <w:rsid w:val="003C3A6A"/>
    <w:rsid w:val="003E424D"/>
    <w:rsid w:val="003F3710"/>
    <w:rsid w:val="00437E98"/>
    <w:rsid w:val="004455FD"/>
    <w:rsid w:val="00471792"/>
    <w:rsid w:val="00474725"/>
    <w:rsid w:val="00474968"/>
    <w:rsid w:val="004A7935"/>
    <w:rsid w:val="004B0913"/>
    <w:rsid w:val="0058736B"/>
    <w:rsid w:val="005C17D0"/>
    <w:rsid w:val="005D6AA4"/>
    <w:rsid w:val="0061762E"/>
    <w:rsid w:val="00643931"/>
    <w:rsid w:val="006A4B34"/>
    <w:rsid w:val="006D6D0B"/>
    <w:rsid w:val="00751A55"/>
    <w:rsid w:val="007C26A9"/>
    <w:rsid w:val="007C41D5"/>
    <w:rsid w:val="00842FDD"/>
    <w:rsid w:val="008F507C"/>
    <w:rsid w:val="00901E12"/>
    <w:rsid w:val="00945D05"/>
    <w:rsid w:val="00972FF3"/>
    <w:rsid w:val="009869A0"/>
    <w:rsid w:val="00997970"/>
    <w:rsid w:val="009C72F9"/>
    <w:rsid w:val="009E1107"/>
    <w:rsid w:val="009E7224"/>
    <w:rsid w:val="00A07CE0"/>
    <w:rsid w:val="00A70391"/>
    <w:rsid w:val="00AF0CB2"/>
    <w:rsid w:val="00B06F3E"/>
    <w:rsid w:val="00B340A4"/>
    <w:rsid w:val="00B86F9C"/>
    <w:rsid w:val="00BA33DB"/>
    <w:rsid w:val="00BB060B"/>
    <w:rsid w:val="00BB5B3C"/>
    <w:rsid w:val="00BC0EE1"/>
    <w:rsid w:val="00BE7DC3"/>
    <w:rsid w:val="00C00056"/>
    <w:rsid w:val="00C00236"/>
    <w:rsid w:val="00C4584F"/>
    <w:rsid w:val="00C63355"/>
    <w:rsid w:val="00C96EC4"/>
    <w:rsid w:val="00CE6FA3"/>
    <w:rsid w:val="00CF4752"/>
    <w:rsid w:val="00D172A7"/>
    <w:rsid w:val="00D52AD4"/>
    <w:rsid w:val="00D53261"/>
    <w:rsid w:val="00D54BD3"/>
    <w:rsid w:val="00D75C64"/>
    <w:rsid w:val="00DC7A04"/>
    <w:rsid w:val="00E16372"/>
    <w:rsid w:val="00E20545"/>
    <w:rsid w:val="00EC71D9"/>
    <w:rsid w:val="00F03E98"/>
    <w:rsid w:val="00F21460"/>
    <w:rsid w:val="00F34050"/>
    <w:rsid w:val="00F405C9"/>
    <w:rsid w:val="00FB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ED61"/>
  <w15:chartTrackingRefBased/>
  <w15:docId w15:val="{10B7CA40-0D0D-43DE-9FCD-88587B43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98"/>
    <w:pPr>
      <w:spacing w:after="0" w:line="240" w:lineRule="auto"/>
    </w:pPr>
    <w:rPr>
      <w:rFonts w:ascii="Times New Roman" w:eastAsia="SimSun" w:hAnsi="Times New Roman" w:cs="Times New Roman"/>
      <w:sz w:val="24"/>
      <w:szCs w:val="24"/>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A4B34"/>
    <w:pPr>
      <w:spacing w:before="100" w:beforeAutospacing="1" w:after="100" w:afterAutospacing="1"/>
    </w:pPr>
    <w:rPr>
      <w:rFonts w:eastAsia="Times New Roman"/>
      <w:lang w:eastAsia="el-GR"/>
    </w:rPr>
  </w:style>
  <w:style w:type="paragraph" w:styleId="a3">
    <w:name w:val="List Paragraph"/>
    <w:basedOn w:val="a"/>
    <w:uiPriority w:val="34"/>
    <w:qFormat/>
    <w:rsid w:val="006D6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840">
      <w:bodyDiv w:val="1"/>
      <w:marLeft w:val="0"/>
      <w:marRight w:val="0"/>
      <w:marTop w:val="0"/>
      <w:marBottom w:val="0"/>
      <w:divBdr>
        <w:top w:val="none" w:sz="0" w:space="0" w:color="auto"/>
        <w:left w:val="none" w:sz="0" w:space="0" w:color="auto"/>
        <w:bottom w:val="none" w:sz="0" w:space="0" w:color="auto"/>
        <w:right w:val="none" w:sz="0" w:space="0" w:color="auto"/>
      </w:divBdr>
      <w:divsChild>
        <w:div w:id="46225311">
          <w:marLeft w:val="547"/>
          <w:marRight w:val="0"/>
          <w:marTop w:val="200"/>
          <w:marBottom w:val="0"/>
          <w:divBdr>
            <w:top w:val="none" w:sz="0" w:space="0" w:color="auto"/>
            <w:left w:val="none" w:sz="0" w:space="0" w:color="auto"/>
            <w:bottom w:val="none" w:sz="0" w:space="0" w:color="auto"/>
            <w:right w:val="none" w:sz="0" w:space="0" w:color="auto"/>
          </w:divBdr>
        </w:div>
      </w:divsChild>
    </w:div>
    <w:div w:id="199783439">
      <w:bodyDiv w:val="1"/>
      <w:marLeft w:val="0"/>
      <w:marRight w:val="0"/>
      <w:marTop w:val="0"/>
      <w:marBottom w:val="0"/>
      <w:divBdr>
        <w:top w:val="none" w:sz="0" w:space="0" w:color="auto"/>
        <w:left w:val="none" w:sz="0" w:space="0" w:color="auto"/>
        <w:bottom w:val="none" w:sz="0" w:space="0" w:color="auto"/>
        <w:right w:val="none" w:sz="0" w:space="0" w:color="auto"/>
      </w:divBdr>
      <w:divsChild>
        <w:div w:id="506137744">
          <w:marLeft w:val="547"/>
          <w:marRight w:val="0"/>
          <w:marTop w:val="200"/>
          <w:marBottom w:val="0"/>
          <w:divBdr>
            <w:top w:val="none" w:sz="0" w:space="0" w:color="auto"/>
            <w:left w:val="none" w:sz="0" w:space="0" w:color="auto"/>
            <w:bottom w:val="none" w:sz="0" w:space="0" w:color="auto"/>
            <w:right w:val="none" w:sz="0" w:space="0" w:color="auto"/>
          </w:divBdr>
        </w:div>
      </w:divsChild>
    </w:div>
    <w:div w:id="1102065605">
      <w:bodyDiv w:val="1"/>
      <w:marLeft w:val="0"/>
      <w:marRight w:val="0"/>
      <w:marTop w:val="0"/>
      <w:marBottom w:val="0"/>
      <w:divBdr>
        <w:top w:val="none" w:sz="0" w:space="0" w:color="auto"/>
        <w:left w:val="none" w:sz="0" w:space="0" w:color="auto"/>
        <w:bottom w:val="none" w:sz="0" w:space="0" w:color="auto"/>
        <w:right w:val="none" w:sz="0" w:space="0" w:color="auto"/>
      </w:divBdr>
      <w:divsChild>
        <w:div w:id="1032614438">
          <w:marLeft w:val="547"/>
          <w:marRight w:val="0"/>
          <w:marTop w:val="200"/>
          <w:marBottom w:val="0"/>
          <w:divBdr>
            <w:top w:val="none" w:sz="0" w:space="0" w:color="auto"/>
            <w:left w:val="none" w:sz="0" w:space="0" w:color="auto"/>
            <w:bottom w:val="none" w:sz="0" w:space="0" w:color="auto"/>
            <w:right w:val="none" w:sz="0" w:space="0" w:color="auto"/>
          </w:divBdr>
        </w:div>
      </w:divsChild>
    </w:div>
    <w:div w:id="1109667061">
      <w:bodyDiv w:val="1"/>
      <w:marLeft w:val="0"/>
      <w:marRight w:val="0"/>
      <w:marTop w:val="0"/>
      <w:marBottom w:val="0"/>
      <w:divBdr>
        <w:top w:val="none" w:sz="0" w:space="0" w:color="auto"/>
        <w:left w:val="none" w:sz="0" w:space="0" w:color="auto"/>
        <w:bottom w:val="none" w:sz="0" w:space="0" w:color="auto"/>
        <w:right w:val="none" w:sz="0" w:space="0" w:color="auto"/>
      </w:divBdr>
      <w:divsChild>
        <w:div w:id="1759134700">
          <w:marLeft w:val="547"/>
          <w:marRight w:val="0"/>
          <w:marTop w:val="200"/>
          <w:marBottom w:val="0"/>
          <w:divBdr>
            <w:top w:val="none" w:sz="0" w:space="0" w:color="auto"/>
            <w:left w:val="none" w:sz="0" w:space="0" w:color="auto"/>
            <w:bottom w:val="none" w:sz="0" w:space="0" w:color="auto"/>
            <w:right w:val="none" w:sz="0" w:space="0" w:color="auto"/>
          </w:divBdr>
        </w:div>
      </w:divsChild>
    </w:div>
    <w:div w:id="18299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1635</TotalTime>
  <Pages>7</Pages>
  <Words>2270</Words>
  <Characters>12258</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 Tzortzi</dc:creator>
  <cp:keywords/>
  <dc:description/>
  <cp:lastModifiedBy>User</cp:lastModifiedBy>
  <cp:revision>49</cp:revision>
  <dcterms:created xsi:type="dcterms:W3CDTF">2022-06-15T13:47:00Z</dcterms:created>
  <dcterms:modified xsi:type="dcterms:W3CDTF">2022-06-22T07:07:00Z</dcterms:modified>
</cp:coreProperties>
</file>