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0FB8D" w14:textId="198DA2FD" w:rsidR="002F4907" w:rsidRDefault="002F4907" w:rsidP="00F23B9A">
      <w:pPr>
        <w:tabs>
          <w:tab w:val="left" w:pos="567"/>
        </w:tabs>
        <w:spacing w:line="360" w:lineRule="auto"/>
        <w:contextualSpacing/>
        <w:jc w:val="both"/>
        <w:rPr>
          <w:rStyle w:val="hps"/>
          <w:b/>
          <w:bCs/>
          <w:u w:val="single"/>
        </w:rPr>
      </w:pPr>
      <w:bookmarkStart w:id="0" w:name="_Hlk113867480"/>
      <w:r w:rsidRPr="00F23B9A">
        <w:rPr>
          <w:rStyle w:val="hps"/>
          <w:b/>
          <w:bCs/>
          <w:u w:val="single"/>
        </w:rPr>
        <w:t xml:space="preserve">ΔΙΚΑΙΟ ΤΗΣ ΕΥΡΩΠΑΪΚΗΣ ΕΝΩΣΗΣ </w:t>
      </w:r>
      <w:r w:rsidR="00624D66" w:rsidRPr="00F23B9A">
        <w:rPr>
          <w:rStyle w:val="hps"/>
          <w:b/>
          <w:bCs/>
          <w:u w:val="single"/>
        </w:rPr>
        <w:t xml:space="preserve">ΙΙ </w:t>
      </w:r>
      <w:r w:rsidR="00F23B9A" w:rsidRPr="00F23B9A">
        <w:rPr>
          <w:rStyle w:val="hps"/>
          <w:b/>
          <w:bCs/>
          <w:u w:val="single"/>
        </w:rPr>
        <w:t xml:space="preserve">– </w:t>
      </w:r>
      <w:r w:rsidR="00624D66" w:rsidRPr="00F23B9A">
        <w:rPr>
          <w:rStyle w:val="hps"/>
          <w:b/>
          <w:bCs/>
          <w:u w:val="single"/>
        </w:rPr>
        <w:t>ΕΞΕΤΑΣΕ</w:t>
      </w:r>
      <w:r w:rsidR="00F23B9A" w:rsidRPr="00F23B9A">
        <w:rPr>
          <w:rStyle w:val="hps"/>
          <w:b/>
          <w:bCs/>
          <w:u w:val="single"/>
        </w:rPr>
        <w:t xml:space="preserve">ΙΣ </w:t>
      </w:r>
      <w:r w:rsidR="00624D66" w:rsidRPr="00F23B9A">
        <w:rPr>
          <w:rStyle w:val="hps"/>
          <w:b/>
          <w:bCs/>
          <w:u w:val="single"/>
        </w:rPr>
        <w:t xml:space="preserve"> ΣΕΠΤΕΜΒΡΙΟΥ 2022 </w:t>
      </w:r>
    </w:p>
    <w:p w14:paraId="77EA11F9" w14:textId="77777777" w:rsidR="00F23B9A" w:rsidRDefault="00F23B9A" w:rsidP="00F23B9A">
      <w:pPr>
        <w:tabs>
          <w:tab w:val="left" w:pos="567"/>
        </w:tabs>
        <w:spacing w:line="360" w:lineRule="auto"/>
        <w:contextualSpacing/>
        <w:jc w:val="both"/>
        <w:rPr>
          <w:rStyle w:val="hps"/>
          <w:b/>
          <w:bCs/>
          <w:u w:val="single"/>
        </w:rPr>
      </w:pPr>
    </w:p>
    <w:p w14:paraId="69B27BA8" w14:textId="7F3EBB43" w:rsidR="00F23B9A" w:rsidRPr="00F23B9A" w:rsidRDefault="00F23B9A" w:rsidP="00F23B9A">
      <w:pPr>
        <w:tabs>
          <w:tab w:val="left" w:pos="567"/>
        </w:tabs>
        <w:spacing w:line="360" w:lineRule="auto"/>
        <w:contextualSpacing/>
        <w:jc w:val="center"/>
        <w:rPr>
          <w:rStyle w:val="hps"/>
          <w:b/>
          <w:bCs/>
          <w:color w:val="C00000"/>
        </w:rPr>
      </w:pPr>
      <w:r w:rsidRPr="00F23B9A">
        <w:rPr>
          <w:rStyle w:val="hps"/>
          <w:b/>
          <w:bCs/>
          <w:color w:val="C00000"/>
        </w:rPr>
        <w:t>ΕΝΔΕΙΚΤΙΚΕΣ ΑΠΑΝΤΗΣΕΙΣ ΘΕΜΑΤΩΝ</w:t>
      </w:r>
    </w:p>
    <w:p w14:paraId="6CF540E9" w14:textId="17C8284D" w:rsidR="00624D66" w:rsidRPr="00647188" w:rsidRDefault="00624D66" w:rsidP="006C6C86">
      <w:pPr>
        <w:tabs>
          <w:tab w:val="left" w:pos="567"/>
        </w:tabs>
        <w:spacing w:line="360" w:lineRule="auto"/>
        <w:ind w:firstLine="284"/>
        <w:contextualSpacing/>
        <w:jc w:val="center"/>
        <w:rPr>
          <w:rStyle w:val="hps"/>
          <w:b/>
          <w:bCs/>
          <w:u w:val="single"/>
        </w:rPr>
      </w:pPr>
    </w:p>
    <w:p w14:paraId="74BEDCF9" w14:textId="7636DF64" w:rsidR="00624D66" w:rsidRPr="00F23B9A" w:rsidRDefault="00F23B9A" w:rsidP="00F23B9A">
      <w:pPr>
        <w:pStyle w:val="Web"/>
        <w:tabs>
          <w:tab w:val="left" w:pos="567"/>
        </w:tabs>
        <w:spacing w:line="360" w:lineRule="auto"/>
        <w:ind w:firstLine="284"/>
        <w:contextualSpacing/>
        <w:jc w:val="center"/>
        <w:textAlignment w:val="baseline"/>
        <w:rPr>
          <w:rStyle w:val="hps"/>
          <w:b/>
          <w:bCs/>
          <w:u w:val="single"/>
        </w:rPr>
      </w:pPr>
      <w:r w:rsidRPr="00F23B9A">
        <w:rPr>
          <w:rStyle w:val="hps"/>
          <w:b/>
          <w:bCs/>
          <w:u w:val="single"/>
        </w:rPr>
        <w:t>ΛΥΣΗ</w:t>
      </w:r>
      <w:r w:rsidRPr="00F23B9A">
        <w:rPr>
          <w:rStyle w:val="hps"/>
          <w:b/>
          <w:bCs/>
          <w:u w:val="single"/>
        </w:rPr>
        <w:t xml:space="preserve"> - </w:t>
      </w:r>
      <w:r w:rsidR="00624D66" w:rsidRPr="00F23B9A">
        <w:rPr>
          <w:rStyle w:val="hps"/>
          <w:b/>
          <w:bCs/>
          <w:u w:val="single"/>
        </w:rPr>
        <w:t>ΘΕΜΑ 1</w:t>
      </w:r>
    </w:p>
    <w:p w14:paraId="18E05E38" w14:textId="47CC7D2E" w:rsidR="00CB6107" w:rsidRPr="00647188" w:rsidRDefault="00A35C2C" w:rsidP="00E57E4E">
      <w:pPr>
        <w:pStyle w:val="Web"/>
        <w:tabs>
          <w:tab w:val="left" w:pos="567"/>
        </w:tabs>
        <w:spacing w:line="360" w:lineRule="auto"/>
        <w:contextualSpacing/>
        <w:jc w:val="both"/>
        <w:textAlignment w:val="baseline"/>
        <w:rPr>
          <w:bCs/>
        </w:rPr>
      </w:pPr>
      <w:r w:rsidRPr="00647188">
        <w:rPr>
          <w:b/>
          <w:bCs/>
        </w:rPr>
        <w:t xml:space="preserve">1. </w:t>
      </w:r>
      <w:r w:rsidR="00CB6107" w:rsidRPr="00647188">
        <w:t xml:space="preserve">Στην άσκηση </w:t>
      </w:r>
      <w:r w:rsidR="00CB6107" w:rsidRPr="00647188">
        <w:rPr>
          <w:bCs/>
        </w:rPr>
        <w:t xml:space="preserve">υπάρχει στοιχείο </w:t>
      </w:r>
      <w:proofErr w:type="spellStart"/>
      <w:r w:rsidR="00CB6107" w:rsidRPr="00647188">
        <w:rPr>
          <w:bCs/>
        </w:rPr>
        <w:t>διασυνοριακότητας</w:t>
      </w:r>
      <w:proofErr w:type="spellEnd"/>
      <w:r w:rsidR="00CB6107" w:rsidRPr="00647188">
        <w:rPr>
          <w:bCs/>
        </w:rPr>
        <w:t xml:space="preserve">, επομένως εφαρμόζεται το </w:t>
      </w:r>
      <w:proofErr w:type="spellStart"/>
      <w:r w:rsidR="00CB6107" w:rsidRPr="00647188">
        <w:rPr>
          <w:bCs/>
        </w:rPr>
        <w:t>ενωσιακό</w:t>
      </w:r>
      <w:proofErr w:type="spellEnd"/>
      <w:r w:rsidR="00CB6107" w:rsidRPr="00647188">
        <w:rPr>
          <w:bCs/>
        </w:rPr>
        <w:t xml:space="preserve"> δίκαιο. </w:t>
      </w:r>
    </w:p>
    <w:p w14:paraId="62177B3C" w14:textId="69C06F6C" w:rsidR="00CB6107" w:rsidRPr="00647188" w:rsidRDefault="00CB6107" w:rsidP="006C6C86">
      <w:pPr>
        <w:spacing w:line="360" w:lineRule="auto"/>
        <w:contextualSpacing/>
        <w:jc w:val="both"/>
      </w:pPr>
      <w:r w:rsidRPr="00647188">
        <w:t>Θα πρέπει να εξετασθεί εάν τα μέτρα που έχει λάβει η πορτογαλική κυβέρνηση συνιστούν παραβίαση των διατάξεων της ΣΛΕΕ για την ελεύθερη κυκλοφορία των εμπορευμάτων του ά. 34 ΣΛΕΕ, ή αν οι ισχυρισμοί αυτοί δικαιολογούνται σύμφωνα με το ά. 36 ΣΛΕΕ (1η κατηγορία εξαιρέσεων) ή σύμφωνα με τους επιτακτικούς λόγους δημοσίου συμφέροντος της</w:t>
      </w:r>
      <w:r w:rsidRPr="00647188">
        <w:rPr>
          <w:lang w:val="en-US"/>
        </w:rPr>
        <w:t>C</w:t>
      </w:r>
      <w:r w:rsidRPr="00647188">
        <w:t xml:space="preserve">–120/78, </w:t>
      </w:r>
      <w:r w:rsidRPr="00647188">
        <w:rPr>
          <w:i/>
          <w:lang w:val="en-US"/>
        </w:rPr>
        <w:t>Cassis</w:t>
      </w:r>
      <w:r w:rsidRPr="00647188">
        <w:rPr>
          <w:i/>
        </w:rPr>
        <w:t xml:space="preserve"> </w:t>
      </w:r>
      <w:r w:rsidRPr="00647188">
        <w:rPr>
          <w:i/>
          <w:lang w:val="en-US"/>
        </w:rPr>
        <w:t>de</w:t>
      </w:r>
      <w:r w:rsidRPr="00647188">
        <w:rPr>
          <w:i/>
        </w:rPr>
        <w:t xml:space="preserve"> </w:t>
      </w:r>
      <w:r w:rsidRPr="00647188">
        <w:rPr>
          <w:i/>
          <w:lang w:val="en-US"/>
        </w:rPr>
        <w:t>Dijon</w:t>
      </w:r>
      <w:r w:rsidRPr="00647188">
        <w:t xml:space="preserve"> (2</w:t>
      </w:r>
      <w:r w:rsidRPr="00647188">
        <w:rPr>
          <w:vertAlign w:val="superscript"/>
        </w:rPr>
        <w:t>η</w:t>
      </w:r>
      <w:r w:rsidRPr="00647188">
        <w:t xml:space="preserve"> κατηγορία εξαιρέσεων).</w:t>
      </w:r>
    </w:p>
    <w:p w14:paraId="2B73E9E2" w14:textId="1AEDF7F7" w:rsidR="00CB6107" w:rsidRPr="00647188" w:rsidRDefault="00CE611E" w:rsidP="006C6C86">
      <w:pPr>
        <w:pStyle w:val="Web"/>
        <w:tabs>
          <w:tab w:val="left" w:pos="567"/>
        </w:tabs>
        <w:spacing w:line="360" w:lineRule="auto"/>
        <w:contextualSpacing/>
        <w:jc w:val="both"/>
        <w:textAlignment w:val="baseline"/>
        <w:rPr>
          <w:rStyle w:val="hps"/>
          <w:i/>
          <w:iCs/>
        </w:rPr>
      </w:pPr>
      <w:r w:rsidRPr="00647188">
        <w:rPr>
          <w:rStyle w:val="hps"/>
          <w:i/>
          <w:iCs/>
        </w:rPr>
        <w:t xml:space="preserve">Α. έκδοση </w:t>
      </w:r>
      <w:r w:rsidRPr="00647188">
        <w:rPr>
          <w:i/>
          <w:iCs/>
        </w:rPr>
        <w:t xml:space="preserve"> </w:t>
      </w:r>
      <w:r w:rsidRPr="00647188">
        <w:rPr>
          <w:rStyle w:val="hps"/>
          <w:i/>
          <w:iCs/>
        </w:rPr>
        <w:t>άδειας</w:t>
      </w:r>
      <w:r w:rsidRPr="00647188">
        <w:rPr>
          <w:i/>
          <w:iCs/>
        </w:rPr>
        <w:t xml:space="preserve"> </w:t>
      </w:r>
      <w:r w:rsidRPr="00647188">
        <w:rPr>
          <w:rStyle w:val="hps"/>
          <w:i/>
          <w:iCs/>
        </w:rPr>
        <w:t>για</w:t>
      </w:r>
      <w:r w:rsidRPr="00647188">
        <w:rPr>
          <w:i/>
          <w:iCs/>
        </w:rPr>
        <w:t xml:space="preserve"> </w:t>
      </w:r>
      <w:r w:rsidRPr="00647188">
        <w:rPr>
          <w:rStyle w:val="hps"/>
          <w:i/>
          <w:iCs/>
        </w:rPr>
        <w:t>την εισαγωγή μηχανών λείανσης μαρμάρου.</w:t>
      </w:r>
    </w:p>
    <w:p w14:paraId="413FF073" w14:textId="45E51291" w:rsidR="00851CE0" w:rsidRPr="00647188" w:rsidRDefault="00851CE0" w:rsidP="006C6C86">
      <w:pPr>
        <w:pStyle w:val="Web"/>
        <w:tabs>
          <w:tab w:val="left" w:pos="567"/>
        </w:tabs>
        <w:spacing w:line="360" w:lineRule="auto"/>
        <w:contextualSpacing/>
        <w:jc w:val="both"/>
        <w:textAlignment w:val="baseline"/>
        <w:rPr>
          <w:bCs/>
          <w:iCs/>
        </w:rPr>
      </w:pPr>
      <w:r w:rsidRPr="00647188">
        <w:rPr>
          <w:bCs/>
        </w:rPr>
        <w:t xml:space="preserve">Δεν πρόκειται για χρηματικής φύσης εμπόδιο στην ελεύθερη κυκλοφορία των εμπορευμάτων που θέτουν τα </w:t>
      </w:r>
      <w:r w:rsidR="00CA023D" w:rsidRPr="00647188">
        <w:rPr>
          <w:bCs/>
        </w:rPr>
        <w:t>Κ</w:t>
      </w:r>
      <w:r w:rsidRPr="00647188">
        <w:rPr>
          <w:bCs/>
        </w:rPr>
        <w:t xml:space="preserve">ράτη-μέλη, άρα δεν αποτελεί δασμό, δηλαδή </w:t>
      </w:r>
      <w:r w:rsidRPr="00647188">
        <w:rPr>
          <w:rFonts w:eastAsiaTheme="minorEastAsia"/>
          <w:bCs/>
          <w:kern w:val="24"/>
        </w:rPr>
        <w:t xml:space="preserve">φόρο, ο οποίος επιβάλλεται κατά τη διέλευση των συνόρων ενός κράτους κατά την εισαγωγή, εξαγωγή ή διαμετακόμιση εμπορευμάτων, </w:t>
      </w:r>
      <w:r w:rsidRPr="00647188">
        <w:rPr>
          <w:bCs/>
        </w:rPr>
        <w:t xml:space="preserve"> ούτε </w:t>
      </w:r>
      <w:r w:rsidRPr="00647188">
        <w:rPr>
          <w:rFonts w:eastAsiaTheme="minorEastAsia"/>
          <w:bCs/>
          <w:kern w:val="24"/>
        </w:rPr>
        <w:t>φορολογική επιβάρυνση ισοδυνάμου αποτελέσματος, δηλαδή</w:t>
      </w:r>
      <w:r w:rsidRPr="00647188">
        <w:rPr>
          <w:rFonts w:eastAsiaTheme="minorEastAsia"/>
          <w:b/>
          <w:bCs/>
          <w:i/>
          <w:iCs/>
          <w:kern w:val="24"/>
        </w:rPr>
        <w:t xml:space="preserve"> </w:t>
      </w:r>
      <w:r w:rsidRPr="00647188">
        <w:rPr>
          <w:rFonts w:eastAsiaTheme="minorEastAsia"/>
          <w:kern w:val="24"/>
        </w:rPr>
        <w:t xml:space="preserve"> οικονομική επιβάρυνση, που επιβάλλεται από δημόσια αρχή, η οποία εμφανίζει αποτελέσματα ισοδύναμα στο κοινοτικό εμπόριο με εκείνα ενός δασμού. </w:t>
      </w:r>
      <w:r w:rsidRPr="00647188">
        <w:t xml:space="preserve">Κατά το ά. 34 ΣΛΕΕ οι ποσοτικοί περιορισμοί επί των εισαγωγών, καθώς και όλα τα μέτρα ισοδυνάμου αποτελέσματος με ποσοτικούς περιορισμούς (Μ.Ι.Α.Π.Π.), απαγορεύονται μεταξύ των </w:t>
      </w:r>
      <w:r w:rsidR="006C6C86" w:rsidRPr="00647188">
        <w:t>Κ</w:t>
      </w:r>
      <w:r w:rsidRPr="00647188">
        <w:t>ρατών</w:t>
      </w:r>
      <w:r w:rsidR="006B1C54" w:rsidRPr="00647188">
        <w:t>-</w:t>
      </w:r>
      <w:r w:rsidRPr="00647188">
        <w:t xml:space="preserve">μελών. Μέτρο ισοδυνάμου αποτελέσματος, κατά τον ορισμό στην </w:t>
      </w:r>
      <w:r w:rsidRPr="00647188">
        <w:rPr>
          <w:lang w:val="en-US"/>
        </w:rPr>
        <w:t>C</w:t>
      </w:r>
      <w:r w:rsidRPr="00647188">
        <w:t xml:space="preserve"> – 8/74, </w:t>
      </w:r>
      <w:proofErr w:type="spellStart"/>
      <w:r w:rsidRPr="00647188">
        <w:rPr>
          <w:i/>
          <w:lang w:val="en-US"/>
        </w:rPr>
        <w:t>Dassonville</w:t>
      </w:r>
      <w:proofErr w:type="spellEnd"/>
      <w:r w:rsidRPr="00647188">
        <w:rPr>
          <w:i/>
        </w:rPr>
        <w:t xml:space="preserve"> </w:t>
      </w:r>
      <w:r w:rsidRPr="00647188">
        <w:t xml:space="preserve"> συνιστά </w:t>
      </w:r>
      <w:proofErr w:type="spellStart"/>
      <w:r w:rsidRPr="00647188">
        <w:rPr>
          <w:lang w:val="en-US"/>
        </w:rPr>
        <w:t>i</w:t>
      </w:r>
      <w:proofErr w:type="spellEnd"/>
      <w:r w:rsidRPr="00647188">
        <w:t xml:space="preserve">. κάθε ρύθμιση του εμπορίου που θεσπίζεται από τα </w:t>
      </w:r>
      <w:r w:rsidR="006C6C86" w:rsidRPr="00647188">
        <w:t>Κ</w:t>
      </w:r>
      <w:r w:rsidRPr="00647188">
        <w:t>ράτη</w:t>
      </w:r>
      <w:r w:rsidR="006B1C54" w:rsidRPr="00647188">
        <w:t>-</w:t>
      </w:r>
      <w:r w:rsidRPr="00647188">
        <w:t xml:space="preserve">μέλη </w:t>
      </w:r>
      <w:r w:rsidRPr="00647188">
        <w:rPr>
          <w:lang w:val="en-US"/>
        </w:rPr>
        <w:t>ii</w:t>
      </w:r>
      <w:r w:rsidRPr="00647188">
        <w:t>. που είναι κατάλληλη να εμποδίσει, άμεσα ή έμμεσα, πραγματικά ή εν δυνάμει, το ενδοκοινοτικό εμπόριο.</w:t>
      </w:r>
      <w:r w:rsidRPr="00647188">
        <w:rPr>
          <w:bCs/>
          <w:i/>
        </w:rPr>
        <w:t xml:space="preserve"> </w:t>
      </w:r>
      <w:r w:rsidRPr="00647188">
        <w:rPr>
          <w:bCs/>
          <w:iCs/>
        </w:rPr>
        <w:t>Τα Μ</w:t>
      </w:r>
      <w:r w:rsidR="006C6C86" w:rsidRPr="00647188">
        <w:rPr>
          <w:bCs/>
          <w:iCs/>
        </w:rPr>
        <w:t>.</w:t>
      </w:r>
      <w:r w:rsidRPr="00647188">
        <w:rPr>
          <w:bCs/>
          <w:iCs/>
        </w:rPr>
        <w:t>Ι</w:t>
      </w:r>
      <w:r w:rsidR="006C6C86" w:rsidRPr="00647188">
        <w:rPr>
          <w:bCs/>
          <w:iCs/>
        </w:rPr>
        <w:t>.</w:t>
      </w:r>
      <w:r w:rsidRPr="00647188">
        <w:rPr>
          <w:bCs/>
          <w:iCs/>
        </w:rPr>
        <w:t>Α</w:t>
      </w:r>
      <w:r w:rsidR="006C6C86" w:rsidRPr="00647188">
        <w:rPr>
          <w:bCs/>
          <w:iCs/>
        </w:rPr>
        <w:t>.</w:t>
      </w:r>
      <w:r w:rsidRPr="00647188">
        <w:rPr>
          <w:bCs/>
          <w:iCs/>
        </w:rPr>
        <w:t>Π</w:t>
      </w:r>
      <w:r w:rsidR="006C6C86" w:rsidRPr="00647188">
        <w:rPr>
          <w:bCs/>
          <w:iCs/>
        </w:rPr>
        <w:t>.</w:t>
      </w:r>
      <w:r w:rsidRPr="00647188">
        <w:rPr>
          <w:bCs/>
          <w:iCs/>
        </w:rPr>
        <w:t>Π</w:t>
      </w:r>
      <w:r w:rsidR="006C6C86" w:rsidRPr="00647188">
        <w:rPr>
          <w:bCs/>
          <w:iCs/>
        </w:rPr>
        <w:t>.</w:t>
      </w:r>
      <w:r w:rsidRPr="00647188">
        <w:rPr>
          <w:bCs/>
          <w:iCs/>
        </w:rPr>
        <w:t xml:space="preserve"> μπορούν να εφαρμόζονται με διάκριση ή αδιακρίτως. Η απαίτηση </w:t>
      </w:r>
      <w:r w:rsidRPr="00647188">
        <w:rPr>
          <w:rStyle w:val="hps"/>
        </w:rPr>
        <w:t xml:space="preserve">έκδοσης </w:t>
      </w:r>
      <w:r w:rsidRPr="00647188">
        <w:t xml:space="preserve"> </w:t>
      </w:r>
      <w:r w:rsidRPr="00647188">
        <w:rPr>
          <w:rStyle w:val="hps"/>
        </w:rPr>
        <w:t>άδειας</w:t>
      </w:r>
      <w:r w:rsidRPr="00647188">
        <w:t xml:space="preserve"> </w:t>
      </w:r>
      <w:r w:rsidRPr="00647188">
        <w:rPr>
          <w:rStyle w:val="hps"/>
        </w:rPr>
        <w:t>για</w:t>
      </w:r>
      <w:r w:rsidRPr="00647188">
        <w:t xml:space="preserve"> </w:t>
      </w:r>
      <w:r w:rsidRPr="00647188">
        <w:rPr>
          <w:rStyle w:val="hps"/>
        </w:rPr>
        <w:t>την εισαγωγή μηχανών λείανσης μαρμάρου στην Πορτογαλία</w:t>
      </w:r>
      <w:r w:rsidRPr="00647188">
        <w:rPr>
          <w:rStyle w:val="hps"/>
          <w:b/>
          <w:bCs/>
          <w:i/>
          <w:iCs/>
        </w:rPr>
        <w:t xml:space="preserve"> </w:t>
      </w:r>
      <w:r w:rsidRPr="00647188">
        <w:t>πληροί τα δύο παραπάνω κριτήρια και συνεπώς συνιστά Μ.Ι.Α.Π.Π.</w:t>
      </w:r>
      <w:r w:rsidRPr="00647188">
        <w:rPr>
          <w:b/>
        </w:rPr>
        <w:t xml:space="preserve"> </w:t>
      </w:r>
      <w:r w:rsidRPr="00647188">
        <w:rPr>
          <w:bCs/>
        </w:rPr>
        <w:t>που παραβιάζει το ά. 34 ΣΛΕΕ.</w:t>
      </w:r>
    </w:p>
    <w:p w14:paraId="16149B33" w14:textId="2F92B744" w:rsidR="00656B4D" w:rsidRPr="00647188" w:rsidRDefault="00656B4D" w:rsidP="006C6C86">
      <w:pPr>
        <w:pStyle w:val="Web"/>
        <w:tabs>
          <w:tab w:val="left" w:pos="567"/>
        </w:tabs>
        <w:spacing w:line="360" w:lineRule="auto"/>
        <w:ind w:firstLine="284"/>
        <w:contextualSpacing/>
        <w:jc w:val="both"/>
        <w:textAlignment w:val="baseline"/>
        <w:rPr>
          <w:rStyle w:val="hps"/>
        </w:rPr>
      </w:pPr>
    </w:p>
    <w:p w14:paraId="2C858131" w14:textId="694B4868" w:rsidR="004A6B45" w:rsidRPr="00647188" w:rsidRDefault="00656B4D" w:rsidP="006C6C86">
      <w:pPr>
        <w:pStyle w:val="Web"/>
        <w:tabs>
          <w:tab w:val="left" w:pos="567"/>
        </w:tabs>
        <w:spacing w:line="360" w:lineRule="auto"/>
        <w:ind w:firstLine="284"/>
        <w:contextualSpacing/>
        <w:jc w:val="both"/>
        <w:textAlignment w:val="baseline"/>
        <w:rPr>
          <w:rStyle w:val="hps"/>
          <w:i/>
          <w:iCs/>
        </w:rPr>
      </w:pPr>
      <w:r w:rsidRPr="00647188">
        <w:rPr>
          <w:rStyle w:val="hps"/>
          <w:i/>
          <w:iCs/>
        </w:rPr>
        <w:t>Β.</w:t>
      </w:r>
      <w:r w:rsidRPr="00647188">
        <w:rPr>
          <w:i/>
          <w:iCs/>
        </w:rPr>
        <w:t xml:space="preserve"> </w:t>
      </w:r>
      <w:r w:rsidRPr="00647188">
        <w:rPr>
          <w:rStyle w:val="hps"/>
          <w:i/>
          <w:iCs/>
        </w:rPr>
        <w:t>ετήσιο όριο που θέτει η Πορτογαλία</w:t>
      </w:r>
      <w:r w:rsidRPr="00647188">
        <w:rPr>
          <w:i/>
          <w:iCs/>
        </w:rPr>
        <w:t xml:space="preserve"> </w:t>
      </w:r>
      <w:r w:rsidRPr="00647188">
        <w:rPr>
          <w:rStyle w:val="hps"/>
          <w:i/>
          <w:iCs/>
        </w:rPr>
        <w:t>ως προς</w:t>
      </w:r>
      <w:r w:rsidRPr="00647188">
        <w:rPr>
          <w:i/>
          <w:iCs/>
        </w:rPr>
        <w:t xml:space="preserve"> </w:t>
      </w:r>
      <w:r w:rsidRPr="00647188">
        <w:rPr>
          <w:rStyle w:val="hps"/>
          <w:i/>
          <w:iCs/>
        </w:rPr>
        <w:t>τον</w:t>
      </w:r>
      <w:r w:rsidRPr="00647188">
        <w:rPr>
          <w:i/>
          <w:iCs/>
        </w:rPr>
        <w:t xml:space="preserve"> </w:t>
      </w:r>
      <w:r w:rsidRPr="00647188">
        <w:rPr>
          <w:rStyle w:val="hps"/>
          <w:i/>
          <w:iCs/>
        </w:rPr>
        <w:t>αριθμό</w:t>
      </w:r>
      <w:r w:rsidRPr="00647188">
        <w:rPr>
          <w:i/>
          <w:iCs/>
        </w:rPr>
        <w:t xml:space="preserve"> </w:t>
      </w:r>
      <w:r w:rsidRPr="00647188">
        <w:rPr>
          <w:rStyle w:val="hps"/>
          <w:i/>
          <w:iCs/>
        </w:rPr>
        <w:t>των</w:t>
      </w:r>
      <w:r w:rsidRPr="00647188">
        <w:rPr>
          <w:i/>
          <w:iCs/>
        </w:rPr>
        <w:t xml:space="preserve"> </w:t>
      </w:r>
      <w:r w:rsidRPr="00647188">
        <w:rPr>
          <w:rStyle w:val="hps"/>
          <w:i/>
          <w:iCs/>
        </w:rPr>
        <w:t>μηχανών λείανσης μαρμάρου,</w:t>
      </w:r>
      <w:r w:rsidRPr="00647188">
        <w:rPr>
          <w:i/>
          <w:iCs/>
        </w:rPr>
        <w:t xml:space="preserve"> </w:t>
      </w:r>
      <w:r w:rsidRPr="00647188">
        <w:rPr>
          <w:rStyle w:val="hps"/>
          <w:i/>
          <w:iCs/>
        </w:rPr>
        <w:t xml:space="preserve">που μπορούν να εισαχθούν </w:t>
      </w:r>
    </w:p>
    <w:p w14:paraId="120DAC06" w14:textId="77777777" w:rsidR="006B1C54" w:rsidRPr="00647188" w:rsidRDefault="006C6C86" w:rsidP="006B1C54">
      <w:pPr>
        <w:pStyle w:val="Web"/>
        <w:tabs>
          <w:tab w:val="left" w:pos="567"/>
        </w:tabs>
        <w:spacing w:line="360" w:lineRule="auto"/>
        <w:contextualSpacing/>
        <w:jc w:val="both"/>
        <w:textAlignment w:val="baseline"/>
        <w:rPr>
          <w:rStyle w:val="hps"/>
        </w:rPr>
      </w:pPr>
      <w:r w:rsidRPr="00647188">
        <w:rPr>
          <w:rStyle w:val="hps"/>
        </w:rPr>
        <w:lastRenderedPageBreak/>
        <w:t>Θα π</w:t>
      </w:r>
      <w:r w:rsidR="006A051A" w:rsidRPr="00647188">
        <w:rPr>
          <w:rStyle w:val="hps"/>
        </w:rPr>
        <w:t xml:space="preserve">ρέπει να εξετασθεί εάν πρόκειται για ποσοτικό περιορισμό ή για παραβίαση του άρθρου 34 ΣΛΕΕ. </w:t>
      </w:r>
    </w:p>
    <w:p w14:paraId="10F53ED3" w14:textId="3BE4FE19" w:rsidR="00692FBD" w:rsidRPr="00647188" w:rsidRDefault="00692FBD" w:rsidP="006B1C54">
      <w:pPr>
        <w:pStyle w:val="Web"/>
        <w:tabs>
          <w:tab w:val="left" w:pos="567"/>
        </w:tabs>
        <w:spacing w:line="360" w:lineRule="auto"/>
        <w:contextualSpacing/>
        <w:jc w:val="both"/>
        <w:textAlignment w:val="baseline"/>
        <w:rPr>
          <w:rFonts w:eastAsiaTheme="minorEastAsia"/>
          <w:kern w:val="24"/>
        </w:rPr>
      </w:pPr>
      <w:r w:rsidRPr="00647188">
        <w:rPr>
          <w:rFonts w:eastAsiaTheme="minorEastAsia"/>
          <w:kern w:val="24"/>
        </w:rPr>
        <w:t xml:space="preserve">Έννοια «ποσοτικού περιορισμού» – </w:t>
      </w:r>
      <w:r w:rsidRPr="00647188">
        <w:rPr>
          <w:rFonts w:eastAsiaTheme="minorEastAsia"/>
          <w:i/>
          <w:iCs/>
          <w:kern w:val="24"/>
        </w:rPr>
        <w:t xml:space="preserve">«κάθε κρατικό μέτρο που είτε εμποδίζει κατά ποιότητα ή αξία, είτε εντελώς απαγορεύει ή ουσιαστικά αποκλείει την εισαγωγή, εξαγωγή ή διαμετακόμιση ενός εμπορεύματος, του οποίου η πώληση επιτρέπεται σε άλλα </w:t>
      </w:r>
      <w:r w:rsidR="006B1C54" w:rsidRPr="00647188">
        <w:rPr>
          <w:rFonts w:eastAsiaTheme="minorEastAsia"/>
          <w:i/>
          <w:iCs/>
          <w:kern w:val="24"/>
        </w:rPr>
        <w:t>Κράτη-μέλη</w:t>
      </w:r>
      <w:r w:rsidRPr="00647188">
        <w:rPr>
          <w:rFonts w:eastAsiaTheme="minorEastAsia"/>
          <w:i/>
          <w:iCs/>
          <w:kern w:val="24"/>
        </w:rPr>
        <w:t>»</w:t>
      </w:r>
      <w:r w:rsidRPr="00647188">
        <w:rPr>
          <w:rFonts w:eastAsiaTheme="minorEastAsia"/>
          <w:kern w:val="24"/>
        </w:rPr>
        <w:t xml:space="preserve"> (</w:t>
      </w:r>
      <w:r w:rsidRPr="00647188">
        <w:rPr>
          <w:rFonts w:eastAsiaTheme="minorEastAsia"/>
          <w:kern w:val="24"/>
          <w:lang w:val="en-US"/>
        </w:rPr>
        <w:t>C</w:t>
      </w:r>
      <w:r w:rsidRPr="00647188">
        <w:rPr>
          <w:rFonts w:eastAsiaTheme="minorEastAsia"/>
          <w:kern w:val="24"/>
        </w:rPr>
        <w:t>- 2/73</w:t>
      </w:r>
      <w:r w:rsidRPr="00647188">
        <w:rPr>
          <w:rFonts w:eastAsiaTheme="minorEastAsia"/>
          <w:i/>
          <w:iCs/>
          <w:kern w:val="24"/>
        </w:rPr>
        <w:t xml:space="preserve">, </w:t>
      </w:r>
      <w:proofErr w:type="spellStart"/>
      <w:r w:rsidRPr="00647188">
        <w:rPr>
          <w:rFonts w:eastAsiaTheme="minorEastAsia"/>
          <w:i/>
          <w:iCs/>
          <w:kern w:val="24"/>
          <w:lang w:val="en-US"/>
        </w:rPr>
        <w:t>Geddo</w:t>
      </w:r>
      <w:proofErr w:type="spellEnd"/>
      <w:r w:rsidRPr="00647188">
        <w:rPr>
          <w:rFonts w:eastAsiaTheme="minorEastAsia"/>
          <w:kern w:val="24"/>
        </w:rPr>
        <w:t>)</w:t>
      </w:r>
    </w:p>
    <w:p w14:paraId="42521471" w14:textId="286AA3C7" w:rsidR="005C5BC5" w:rsidRPr="00647188" w:rsidRDefault="00605928" w:rsidP="006C6C86">
      <w:pPr>
        <w:spacing w:line="360" w:lineRule="auto"/>
        <w:contextualSpacing/>
        <w:jc w:val="both"/>
        <w:textAlignment w:val="baseline"/>
        <w:rPr>
          <w:rStyle w:val="hps"/>
          <w:b/>
          <w:bCs/>
        </w:rPr>
      </w:pPr>
      <w:r w:rsidRPr="00647188">
        <w:rPr>
          <w:rFonts w:eastAsia="Times New Roman"/>
        </w:rPr>
        <w:t xml:space="preserve">Το όριο </w:t>
      </w:r>
      <w:r w:rsidR="00D85394" w:rsidRPr="00647188">
        <w:rPr>
          <w:rStyle w:val="hps"/>
          <w:i/>
          <w:iCs/>
        </w:rPr>
        <w:t>που θέτει η Πορτογαλία</w:t>
      </w:r>
      <w:r w:rsidR="00D85394" w:rsidRPr="00647188">
        <w:rPr>
          <w:rFonts w:eastAsia="Times New Roman"/>
        </w:rPr>
        <w:t xml:space="preserve"> </w:t>
      </w:r>
      <w:r w:rsidRPr="00647188">
        <w:rPr>
          <w:rFonts w:eastAsia="Times New Roman"/>
        </w:rPr>
        <w:t>είναι μερικός περιορισμός των εισαγωγών (εισαγωγική ποσόστωση)</w:t>
      </w:r>
      <w:r w:rsidR="00D85394" w:rsidRPr="00647188">
        <w:rPr>
          <w:rFonts w:eastAsia="Times New Roman"/>
        </w:rPr>
        <w:t>.</w:t>
      </w:r>
      <w:r w:rsidR="006C6C86" w:rsidRPr="00647188">
        <w:rPr>
          <w:rFonts w:eastAsia="Times New Roman"/>
        </w:rPr>
        <w:t xml:space="preserve"> </w:t>
      </w:r>
      <w:r w:rsidR="00D85394" w:rsidRPr="00647188">
        <w:rPr>
          <w:rFonts w:eastAsia="Times New Roman"/>
        </w:rPr>
        <w:t xml:space="preserve">Άρα, το μέτρο </w:t>
      </w:r>
      <w:r w:rsidR="005C5BC5" w:rsidRPr="00647188">
        <w:rPr>
          <w:rStyle w:val="hps"/>
        </w:rPr>
        <w:t xml:space="preserve">παραβιάζει το </w:t>
      </w:r>
      <w:r w:rsidR="006C6C86" w:rsidRPr="00647188">
        <w:rPr>
          <w:rStyle w:val="hps"/>
        </w:rPr>
        <w:t xml:space="preserve">ά. </w:t>
      </w:r>
      <w:r w:rsidR="005C5BC5" w:rsidRPr="00647188">
        <w:rPr>
          <w:rStyle w:val="hps"/>
        </w:rPr>
        <w:t>34</w:t>
      </w:r>
      <w:r w:rsidR="006C6C86" w:rsidRPr="00647188">
        <w:rPr>
          <w:rStyle w:val="hps"/>
        </w:rPr>
        <w:t xml:space="preserve"> ΣΛΕΕ.</w:t>
      </w:r>
      <w:r w:rsidR="005C5BC5" w:rsidRPr="00647188">
        <w:rPr>
          <w:rStyle w:val="hps"/>
        </w:rPr>
        <w:t xml:space="preserve"> </w:t>
      </w:r>
    </w:p>
    <w:p w14:paraId="624AFF99" w14:textId="77777777" w:rsidR="006C6C86" w:rsidRPr="00647188" w:rsidRDefault="006C6C86" w:rsidP="006C6C86">
      <w:pPr>
        <w:pStyle w:val="Web"/>
        <w:tabs>
          <w:tab w:val="left" w:pos="567"/>
        </w:tabs>
        <w:spacing w:line="360" w:lineRule="auto"/>
        <w:ind w:firstLine="284"/>
        <w:contextualSpacing/>
        <w:jc w:val="both"/>
        <w:textAlignment w:val="baseline"/>
        <w:rPr>
          <w:rStyle w:val="hps"/>
          <w:i/>
          <w:iCs/>
        </w:rPr>
      </w:pPr>
    </w:p>
    <w:p w14:paraId="71F1F392" w14:textId="1E19E3F5" w:rsidR="004A6B45" w:rsidRPr="00647188" w:rsidRDefault="004A6B45" w:rsidP="006C6C86">
      <w:pPr>
        <w:pStyle w:val="Web"/>
        <w:tabs>
          <w:tab w:val="left" w:pos="567"/>
        </w:tabs>
        <w:spacing w:line="360" w:lineRule="auto"/>
        <w:ind w:firstLine="284"/>
        <w:contextualSpacing/>
        <w:jc w:val="both"/>
        <w:textAlignment w:val="baseline"/>
        <w:rPr>
          <w:i/>
          <w:iCs/>
        </w:rPr>
      </w:pPr>
      <w:r w:rsidRPr="00647188">
        <w:rPr>
          <w:rStyle w:val="hps"/>
          <w:i/>
          <w:iCs/>
        </w:rPr>
        <w:t>Γ. ρυθμίσεις που ορίζουν</w:t>
      </w:r>
      <w:r w:rsidRPr="00647188">
        <w:rPr>
          <w:i/>
          <w:iCs/>
        </w:rPr>
        <w:t xml:space="preserve"> </w:t>
      </w:r>
      <w:r w:rsidRPr="00647188">
        <w:rPr>
          <w:rStyle w:val="hps"/>
          <w:i/>
          <w:iCs/>
        </w:rPr>
        <w:t>ότι τα μηχανήματα</w:t>
      </w:r>
      <w:r w:rsidRPr="00647188">
        <w:rPr>
          <w:i/>
          <w:iCs/>
        </w:rPr>
        <w:t xml:space="preserve"> </w:t>
      </w:r>
      <w:r w:rsidRPr="00647188">
        <w:rPr>
          <w:rStyle w:val="hps"/>
          <w:i/>
          <w:iCs/>
        </w:rPr>
        <w:t>κατασκευής</w:t>
      </w:r>
      <w:r w:rsidRPr="00647188">
        <w:rPr>
          <w:i/>
          <w:iCs/>
        </w:rPr>
        <w:t xml:space="preserve">, </w:t>
      </w:r>
      <w:r w:rsidRPr="00647188">
        <w:rPr>
          <w:rStyle w:val="hps"/>
          <w:i/>
          <w:iCs/>
        </w:rPr>
        <w:t>συμπεριλαμβανομένων των μηχανών λείανσης μαρμάρου, επιτρέπεται να</w:t>
      </w:r>
      <w:r w:rsidRPr="00647188">
        <w:rPr>
          <w:i/>
          <w:iCs/>
        </w:rPr>
        <w:t xml:space="preserve"> </w:t>
      </w:r>
      <w:r w:rsidRPr="00647188">
        <w:rPr>
          <w:rStyle w:val="hps"/>
          <w:i/>
          <w:iCs/>
        </w:rPr>
        <w:t>πωλούνται μόνο</w:t>
      </w:r>
      <w:r w:rsidRPr="00647188">
        <w:rPr>
          <w:i/>
          <w:iCs/>
        </w:rPr>
        <w:t xml:space="preserve"> </w:t>
      </w:r>
      <w:r w:rsidRPr="00647188">
        <w:rPr>
          <w:rStyle w:val="hps"/>
          <w:i/>
          <w:iCs/>
        </w:rPr>
        <w:t>σε καταστήματα στα οποία έχει χορηγηθεί ειδική κρατική άδεια.</w:t>
      </w:r>
    </w:p>
    <w:p w14:paraId="2EA255A3" w14:textId="176EAD7F" w:rsidR="003F2820" w:rsidRPr="00647188" w:rsidRDefault="003F2820" w:rsidP="006C6C86">
      <w:pPr>
        <w:spacing w:before="200" w:line="360" w:lineRule="auto"/>
        <w:contextualSpacing/>
        <w:jc w:val="both"/>
        <w:rPr>
          <w:rFonts w:eastAsiaTheme="minorEastAsia"/>
          <w:kern w:val="24"/>
          <w:lang w:eastAsia="el-GR"/>
        </w:rPr>
      </w:pPr>
      <w:r w:rsidRPr="00647188">
        <w:rPr>
          <w:rFonts w:eastAsiaTheme="minorEastAsia"/>
          <w:kern w:val="24"/>
          <w:lang w:eastAsia="el-GR"/>
        </w:rPr>
        <w:t xml:space="preserve">Κατά την απόφαση του ΔΕΚ στην υπόθεση </w:t>
      </w:r>
      <w:r w:rsidRPr="00647188">
        <w:rPr>
          <w:rFonts w:eastAsiaTheme="minorEastAsia"/>
          <w:kern w:val="24"/>
          <w:lang w:val="en-US" w:eastAsia="el-GR"/>
        </w:rPr>
        <w:t>C</w:t>
      </w:r>
      <w:r w:rsidRPr="00647188">
        <w:rPr>
          <w:rFonts w:eastAsiaTheme="minorEastAsia"/>
          <w:kern w:val="24"/>
          <w:lang w:eastAsia="el-GR"/>
        </w:rPr>
        <w:t>-267</w:t>
      </w:r>
      <w:r w:rsidR="006C6C86" w:rsidRPr="00647188">
        <w:rPr>
          <w:rFonts w:eastAsiaTheme="minorEastAsia"/>
          <w:kern w:val="24"/>
          <w:lang w:eastAsia="el-GR"/>
        </w:rPr>
        <w:t>-</w:t>
      </w:r>
      <w:r w:rsidRPr="00647188">
        <w:rPr>
          <w:rFonts w:eastAsiaTheme="minorEastAsia"/>
          <w:kern w:val="24"/>
          <w:lang w:eastAsia="el-GR"/>
        </w:rPr>
        <w:t>268/91,</w:t>
      </w:r>
      <w:r w:rsidRPr="00647188">
        <w:rPr>
          <w:rFonts w:eastAsiaTheme="minorEastAsia"/>
          <w:b/>
          <w:bCs/>
          <w:i/>
          <w:iCs/>
          <w:kern w:val="24"/>
          <w:lang w:eastAsia="el-GR"/>
        </w:rPr>
        <w:t xml:space="preserve"> </w:t>
      </w:r>
      <w:r w:rsidRPr="00647188">
        <w:rPr>
          <w:rFonts w:eastAsiaTheme="minorEastAsia"/>
          <w:i/>
          <w:iCs/>
          <w:kern w:val="24"/>
          <w:lang w:val="en-US" w:eastAsia="el-GR"/>
        </w:rPr>
        <w:t>Keck</w:t>
      </w:r>
      <w:r w:rsidRPr="00647188">
        <w:rPr>
          <w:rFonts w:eastAsiaTheme="minorEastAsia"/>
          <w:i/>
          <w:iCs/>
          <w:kern w:val="24"/>
          <w:lang w:eastAsia="el-GR"/>
        </w:rPr>
        <w:t xml:space="preserve"> </w:t>
      </w:r>
      <w:r w:rsidRPr="00647188">
        <w:rPr>
          <w:rFonts w:eastAsiaTheme="minorEastAsia"/>
          <w:kern w:val="24"/>
          <w:lang w:eastAsia="el-GR"/>
        </w:rPr>
        <w:t xml:space="preserve">(1993) πρέπει να γίνεται διάκριση μεταξύ: ενός μέτρου που αφορά τα </w:t>
      </w:r>
      <w:r w:rsidRPr="00647188">
        <w:rPr>
          <w:rFonts w:eastAsiaTheme="minorEastAsia"/>
          <w:i/>
          <w:iCs/>
          <w:kern w:val="24"/>
          <w:lang w:eastAsia="el-GR"/>
        </w:rPr>
        <w:t>τεχνικά στοιχεία</w:t>
      </w:r>
      <w:r w:rsidRPr="00647188">
        <w:rPr>
          <w:rFonts w:eastAsiaTheme="minorEastAsia"/>
          <w:kern w:val="24"/>
          <w:lang w:eastAsia="el-GR"/>
        </w:rPr>
        <w:t xml:space="preserve"> ενός προϊόντος (μέγεθος, βάρος, σύνθεση, ετικέτα = παράβαση του </w:t>
      </w:r>
      <w:proofErr w:type="spellStart"/>
      <w:r w:rsidRPr="00647188">
        <w:rPr>
          <w:rFonts w:eastAsiaTheme="minorEastAsia"/>
          <w:kern w:val="24"/>
          <w:lang w:eastAsia="el-GR"/>
        </w:rPr>
        <w:t>ενωσιακού</w:t>
      </w:r>
      <w:proofErr w:type="spellEnd"/>
      <w:r w:rsidRPr="00647188">
        <w:rPr>
          <w:rFonts w:eastAsiaTheme="minorEastAsia"/>
          <w:kern w:val="24"/>
          <w:lang w:eastAsia="el-GR"/>
        </w:rPr>
        <w:t xml:space="preserve"> δικαίου) και μέτρου που αφορά απλώς τους όρους πώλησης ενός προϊόντος (=όχι παράβαση του </w:t>
      </w:r>
      <w:proofErr w:type="spellStart"/>
      <w:r w:rsidRPr="00647188">
        <w:rPr>
          <w:rFonts w:eastAsiaTheme="minorEastAsia"/>
          <w:kern w:val="24"/>
          <w:lang w:eastAsia="el-GR"/>
        </w:rPr>
        <w:t>ενωσιακού</w:t>
      </w:r>
      <w:proofErr w:type="spellEnd"/>
      <w:r w:rsidRPr="00647188">
        <w:rPr>
          <w:rFonts w:eastAsiaTheme="minorEastAsia"/>
          <w:kern w:val="24"/>
          <w:lang w:eastAsia="el-GR"/>
        </w:rPr>
        <w:t xml:space="preserve"> δικαίου).</w:t>
      </w:r>
    </w:p>
    <w:p w14:paraId="24BC250F" w14:textId="6CB23C0F" w:rsidR="003F2820" w:rsidRPr="00647188" w:rsidRDefault="003F2820" w:rsidP="006C6C86">
      <w:pPr>
        <w:spacing w:line="360" w:lineRule="auto"/>
        <w:contextualSpacing/>
        <w:jc w:val="both"/>
      </w:pPr>
      <w:r w:rsidRPr="00647188">
        <w:rPr>
          <w:rFonts w:eastAsiaTheme="minorEastAsia"/>
          <w:kern w:val="24"/>
          <w:lang w:eastAsia="el-GR"/>
        </w:rPr>
        <w:t>Έτσι, τα εθνικά μέτρα που αφορούν απλώς «όρους πώλησης» (πότε, πώς, πού)</w:t>
      </w:r>
      <w:r w:rsidR="006E32FF" w:rsidRPr="00647188">
        <w:rPr>
          <w:rFonts w:eastAsiaTheme="minorEastAsia"/>
          <w:kern w:val="24"/>
          <w:lang w:eastAsia="el-GR"/>
        </w:rPr>
        <w:t xml:space="preserve"> </w:t>
      </w:r>
      <w:r w:rsidRPr="00647188">
        <w:rPr>
          <w:rFonts w:eastAsiaTheme="minorEastAsia"/>
          <w:kern w:val="24"/>
          <w:lang w:eastAsia="el-GR"/>
        </w:rPr>
        <w:t>δεν συνιστούν κανονικά  Μ</w:t>
      </w:r>
      <w:r w:rsidR="006C6C86" w:rsidRPr="00647188">
        <w:rPr>
          <w:rFonts w:eastAsiaTheme="minorEastAsia"/>
          <w:kern w:val="24"/>
          <w:lang w:eastAsia="el-GR"/>
        </w:rPr>
        <w:t>.</w:t>
      </w:r>
      <w:r w:rsidRPr="00647188">
        <w:rPr>
          <w:rFonts w:eastAsiaTheme="minorEastAsia"/>
          <w:kern w:val="24"/>
          <w:lang w:eastAsia="el-GR"/>
        </w:rPr>
        <w:t>Ι</w:t>
      </w:r>
      <w:r w:rsidR="006B1C54" w:rsidRPr="00647188">
        <w:rPr>
          <w:rFonts w:eastAsiaTheme="minorEastAsia"/>
          <w:kern w:val="24"/>
          <w:lang w:eastAsia="el-GR"/>
        </w:rPr>
        <w:t>.</w:t>
      </w:r>
      <w:r w:rsidRPr="00647188">
        <w:rPr>
          <w:rFonts w:eastAsiaTheme="minorEastAsia"/>
          <w:kern w:val="24"/>
          <w:lang w:eastAsia="el-GR"/>
        </w:rPr>
        <w:t>Α</w:t>
      </w:r>
      <w:r w:rsidR="006B1C54" w:rsidRPr="00647188">
        <w:rPr>
          <w:rFonts w:eastAsiaTheme="minorEastAsia"/>
          <w:kern w:val="24"/>
          <w:lang w:eastAsia="el-GR"/>
        </w:rPr>
        <w:t>.</w:t>
      </w:r>
      <w:r w:rsidRPr="00647188">
        <w:rPr>
          <w:rFonts w:eastAsiaTheme="minorEastAsia"/>
          <w:kern w:val="24"/>
          <w:lang w:eastAsia="el-GR"/>
        </w:rPr>
        <w:t>Π</w:t>
      </w:r>
      <w:r w:rsidR="006B1C54" w:rsidRPr="00647188">
        <w:rPr>
          <w:rFonts w:eastAsiaTheme="minorEastAsia"/>
          <w:kern w:val="24"/>
          <w:lang w:eastAsia="el-GR"/>
        </w:rPr>
        <w:t>.</w:t>
      </w:r>
      <w:r w:rsidRPr="00647188">
        <w:rPr>
          <w:rFonts w:eastAsiaTheme="minorEastAsia"/>
          <w:kern w:val="24"/>
          <w:lang w:eastAsia="el-GR"/>
        </w:rPr>
        <w:t>Π</w:t>
      </w:r>
      <w:r w:rsidR="006B1C54" w:rsidRPr="00647188">
        <w:rPr>
          <w:rFonts w:eastAsiaTheme="minorEastAsia"/>
          <w:kern w:val="24"/>
          <w:lang w:eastAsia="el-GR"/>
        </w:rPr>
        <w:t>.</w:t>
      </w:r>
      <w:r w:rsidRPr="00647188">
        <w:rPr>
          <w:rFonts w:eastAsiaTheme="minorEastAsia"/>
          <w:kern w:val="24"/>
          <w:lang w:eastAsia="el-GR"/>
        </w:rPr>
        <w:t xml:space="preserve"> κατά την έννοια της </w:t>
      </w:r>
      <w:proofErr w:type="spellStart"/>
      <w:r w:rsidRPr="00647188">
        <w:rPr>
          <w:rFonts w:eastAsiaTheme="minorEastAsia"/>
          <w:i/>
          <w:iCs/>
          <w:kern w:val="24"/>
          <w:lang w:val="en-US" w:eastAsia="el-GR"/>
        </w:rPr>
        <w:t>Dassonville</w:t>
      </w:r>
      <w:proofErr w:type="spellEnd"/>
      <w:r w:rsidRPr="00647188">
        <w:rPr>
          <w:rFonts w:eastAsiaTheme="minorEastAsia"/>
          <w:kern w:val="24"/>
          <w:lang w:eastAsia="el-GR"/>
        </w:rPr>
        <w:t xml:space="preserve"> και δεν θα εμπίπτουν κανονικά στο ά. 34 ΣΛΕΕ.</w:t>
      </w:r>
      <w:r w:rsidR="006B1C54" w:rsidRPr="00647188">
        <w:rPr>
          <w:rFonts w:eastAsiaTheme="minorEastAsia"/>
          <w:kern w:val="24"/>
          <w:lang w:eastAsia="el-GR"/>
        </w:rPr>
        <w:t xml:space="preserve"> </w:t>
      </w:r>
      <w:r w:rsidRPr="00647188">
        <w:rPr>
          <w:rFonts w:eastAsiaTheme="minorEastAsia"/>
          <w:kern w:val="24"/>
          <w:lang w:eastAsia="el-GR"/>
        </w:rPr>
        <w:t xml:space="preserve">Ο λόγος είναι ότι οι όροι πώλησης δεν έχουν στόχο να ρυθμίσουν το εμπόριο μεταξύ των </w:t>
      </w:r>
      <w:r w:rsidR="006B1C54" w:rsidRPr="00647188">
        <w:rPr>
          <w:rFonts w:eastAsiaTheme="minorEastAsia"/>
          <w:kern w:val="24"/>
          <w:lang w:eastAsia="el-GR"/>
        </w:rPr>
        <w:t>Κρατών-</w:t>
      </w:r>
      <w:proofErr w:type="spellStart"/>
      <w:r w:rsidRPr="00647188">
        <w:rPr>
          <w:rFonts w:eastAsiaTheme="minorEastAsia"/>
          <w:kern w:val="24"/>
          <w:lang w:eastAsia="el-GR"/>
        </w:rPr>
        <w:t>μ</w:t>
      </w:r>
      <w:r w:rsidR="006B1C54" w:rsidRPr="00647188">
        <w:rPr>
          <w:rFonts w:eastAsiaTheme="minorEastAsia"/>
          <w:kern w:val="24"/>
          <w:lang w:eastAsia="el-GR"/>
        </w:rPr>
        <w:t>ελώνν</w:t>
      </w:r>
      <w:proofErr w:type="spellEnd"/>
      <w:r w:rsidRPr="00647188">
        <w:rPr>
          <w:rFonts w:eastAsiaTheme="minorEastAsia"/>
          <w:kern w:val="24"/>
          <w:lang w:eastAsia="el-GR"/>
        </w:rPr>
        <w:t xml:space="preserve"> κατά κανένα τρόπο εφόσον α. εφαρμόζονται αδιακρίτως και β. επηρεάζουν  κατά τον ίδιο τρόπο, και νομικά και πραγματικά, την εμπορία των εγχώριων προϊόντων και των προϊόντων προέλευσης άλλων Κρατών – μελών. </w:t>
      </w:r>
    </w:p>
    <w:p w14:paraId="6DA56C84" w14:textId="77777777" w:rsidR="006B1C54" w:rsidRPr="00647188" w:rsidRDefault="00877B1E" w:rsidP="006B1C54">
      <w:pPr>
        <w:spacing w:line="360" w:lineRule="auto"/>
        <w:contextualSpacing/>
        <w:jc w:val="both"/>
        <w:rPr>
          <w:rFonts w:eastAsiaTheme="minorEastAsia"/>
          <w:kern w:val="24"/>
          <w:lang w:eastAsia="el-GR"/>
        </w:rPr>
      </w:pPr>
      <w:r w:rsidRPr="00647188">
        <w:rPr>
          <w:rStyle w:val="hps"/>
        </w:rPr>
        <w:t>Οι ρυθμίσεις που ορίζουν</w:t>
      </w:r>
      <w:r w:rsidRPr="00647188">
        <w:t xml:space="preserve"> </w:t>
      </w:r>
      <w:r w:rsidRPr="00647188">
        <w:rPr>
          <w:rStyle w:val="hps"/>
        </w:rPr>
        <w:t>ότι τα μηχανήματα</w:t>
      </w:r>
      <w:r w:rsidRPr="00647188">
        <w:t xml:space="preserve"> </w:t>
      </w:r>
      <w:r w:rsidRPr="00647188">
        <w:rPr>
          <w:rStyle w:val="hps"/>
        </w:rPr>
        <w:t>κατασκευής</w:t>
      </w:r>
      <w:r w:rsidRPr="00647188">
        <w:t xml:space="preserve">, </w:t>
      </w:r>
      <w:r w:rsidRPr="00647188">
        <w:rPr>
          <w:rStyle w:val="hps"/>
        </w:rPr>
        <w:t>συμπεριλαμβανομένων των μηχανών λείανσης μαρμάρου, επιτρέπεται να</w:t>
      </w:r>
      <w:r w:rsidRPr="00647188">
        <w:t xml:space="preserve"> </w:t>
      </w:r>
      <w:r w:rsidRPr="00647188">
        <w:rPr>
          <w:rStyle w:val="hps"/>
        </w:rPr>
        <w:t>πωλούνται μόνο</w:t>
      </w:r>
      <w:r w:rsidRPr="00647188">
        <w:t xml:space="preserve"> </w:t>
      </w:r>
      <w:r w:rsidRPr="00647188">
        <w:rPr>
          <w:rStyle w:val="hps"/>
        </w:rPr>
        <w:t>σε καταστήματα στα οποία έχει χορηγηθεί ειδική κρατική άδεια αποτελούν «όρους πώλησης»</w:t>
      </w:r>
      <w:r w:rsidR="006E32FF" w:rsidRPr="00647188">
        <w:rPr>
          <w:rStyle w:val="hps"/>
        </w:rPr>
        <w:t xml:space="preserve">. </w:t>
      </w:r>
      <w:r w:rsidR="006E32FF" w:rsidRPr="00647188">
        <w:rPr>
          <w:rFonts w:eastAsiaTheme="minorEastAsia"/>
          <w:kern w:val="24"/>
        </w:rPr>
        <w:t xml:space="preserve">Δεν αφορούν </w:t>
      </w:r>
      <w:r w:rsidR="006E32FF" w:rsidRPr="00647188">
        <w:rPr>
          <w:rFonts w:eastAsiaTheme="minorEastAsia"/>
          <w:kern w:val="24"/>
          <w:lang w:eastAsia="el-GR"/>
        </w:rPr>
        <w:t>τεχνικά χαρακτηριστικά</w:t>
      </w:r>
      <w:r w:rsidR="006E32FF" w:rsidRPr="00647188">
        <w:rPr>
          <w:rFonts w:eastAsiaTheme="minorEastAsia"/>
          <w:kern w:val="24"/>
        </w:rPr>
        <w:t xml:space="preserve">, αλλά το πού πωλούνται </w:t>
      </w:r>
      <w:r w:rsidR="006E32FF" w:rsidRPr="00647188">
        <w:rPr>
          <w:rStyle w:val="hps"/>
        </w:rPr>
        <w:t xml:space="preserve"> τα μηχανήματα</w:t>
      </w:r>
      <w:r w:rsidR="006E32FF" w:rsidRPr="00647188">
        <w:t xml:space="preserve"> </w:t>
      </w:r>
      <w:r w:rsidR="006E32FF" w:rsidRPr="00647188">
        <w:rPr>
          <w:rStyle w:val="hps"/>
        </w:rPr>
        <w:t>κατασκευής</w:t>
      </w:r>
      <w:r w:rsidR="006E32FF" w:rsidRPr="00647188">
        <w:t xml:space="preserve">, </w:t>
      </w:r>
      <w:r w:rsidR="006E32FF" w:rsidRPr="00647188">
        <w:rPr>
          <w:rStyle w:val="hps"/>
        </w:rPr>
        <w:t>συμπεριλαμβανομένων των μηχανών λείανσης μαρμάρου,</w:t>
      </w:r>
      <w:r w:rsidR="006E32FF" w:rsidRPr="00647188">
        <w:rPr>
          <w:rStyle w:val="hps"/>
          <w:i/>
          <w:iCs/>
        </w:rPr>
        <w:t xml:space="preserve"> </w:t>
      </w:r>
      <w:r w:rsidR="006E32FF" w:rsidRPr="00647188">
        <w:rPr>
          <w:rFonts w:eastAsiaTheme="minorEastAsia"/>
          <w:kern w:val="24"/>
          <w:lang w:eastAsia="el-GR"/>
        </w:rPr>
        <w:t xml:space="preserve"> εφαρμόζονται αδιακρίτως και επηρεάζουν κατά τον ίδιο τρόπο, και νομικά και πραγματικά, την εμπορία των εγχώριων προϊόντων και των προϊόντων προέλευσης άλλων Κρατών </w:t>
      </w:r>
      <w:r w:rsidR="006B1C54" w:rsidRPr="00647188">
        <w:rPr>
          <w:rFonts w:eastAsiaTheme="minorEastAsia"/>
          <w:kern w:val="24"/>
          <w:lang w:eastAsia="el-GR"/>
        </w:rPr>
        <w:t>-</w:t>
      </w:r>
      <w:r w:rsidR="006E32FF" w:rsidRPr="00647188">
        <w:rPr>
          <w:rFonts w:eastAsiaTheme="minorEastAsia"/>
          <w:kern w:val="24"/>
          <w:lang w:eastAsia="el-GR"/>
        </w:rPr>
        <w:t xml:space="preserve">μελών. </w:t>
      </w:r>
    </w:p>
    <w:p w14:paraId="1D5ADA86" w14:textId="77777777" w:rsidR="006B1C54" w:rsidRPr="00647188" w:rsidRDefault="006B1C54" w:rsidP="006B1C54">
      <w:pPr>
        <w:spacing w:line="360" w:lineRule="auto"/>
        <w:contextualSpacing/>
        <w:jc w:val="both"/>
        <w:rPr>
          <w:rFonts w:eastAsiaTheme="minorEastAsia"/>
          <w:kern w:val="24"/>
          <w:lang w:eastAsia="el-GR"/>
        </w:rPr>
      </w:pPr>
    </w:p>
    <w:p w14:paraId="04BA6D34" w14:textId="7E40F744" w:rsidR="004A6B45" w:rsidRPr="00647188" w:rsidRDefault="004A6B45" w:rsidP="006B1C54">
      <w:pPr>
        <w:spacing w:line="360" w:lineRule="auto"/>
        <w:contextualSpacing/>
        <w:jc w:val="both"/>
        <w:rPr>
          <w:i/>
          <w:iCs/>
        </w:rPr>
      </w:pPr>
      <w:r w:rsidRPr="00647188">
        <w:rPr>
          <w:rStyle w:val="hps"/>
          <w:i/>
          <w:iCs/>
        </w:rPr>
        <w:lastRenderedPageBreak/>
        <w:t>Δ. ρυθμίσεις για την προστασία της υγείας</w:t>
      </w:r>
      <w:r w:rsidRPr="00647188">
        <w:rPr>
          <w:i/>
          <w:iCs/>
        </w:rPr>
        <w:t xml:space="preserve"> </w:t>
      </w:r>
      <w:r w:rsidRPr="00647188">
        <w:rPr>
          <w:rStyle w:val="hps"/>
          <w:i/>
          <w:iCs/>
        </w:rPr>
        <w:t>και την ασφάλεια</w:t>
      </w:r>
      <w:r w:rsidRPr="00647188">
        <w:rPr>
          <w:i/>
          <w:iCs/>
        </w:rPr>
        <w:t xml:space="preserve"> </w:t>
      </w:r>
      <w:r w:rsidRPr="00647188">
        <w:rPr>
          <w:rStyle w:val="hps"/>
          <w:i/>
          <w:iCs/>
        </w:rPr>
        <w:t>που απαιτούν</w:t>
      </w:r>
      <w:r w:rsidRPr="00647188">
        <w:rPr>
          <w:i/>
          <w:iCs/>
        </w:rPr>
        <w:t xml:space="preserve"> </w:t>
      </w:r>
      <w:r w:rsidRPr="00647188">
        <w:rPr>
          <w:rStyle w:val="hps"/>
          <w:i/>
          <w:iCs/>
        </w:rPr>
        <w:t>όλες οι  μηχανές λείανσης μαρμάρου να είναι εφοδιασμένες</w:t>
      </w:r>
      <w:r w:rsidRPr="00647188">
        <w:rPr>
          <w:i/>
          <w:iCs/>
        </w:rPr>
        <w:t xml:space="preserve"> </w:t>
      </w:r>
      <w:r w:rsidRPr="00647188">
        <w:rPr>
          <w:rStyle w:val="hps"/>
          <w:i/>
          <w:iCs/>
        </w:rPr>
        <w:t>με</w:t>
      </w:r>
      <w:r w:rsidRPr="00647188">
        <w:rPr>
          <w:i/>
          <w:iCs/>
        </w:rPr>
        <w:t xml:space="preserve"> </w:t>
      </w:r>
      <w:r w:rsidRPr="00647188">
        <w:rPr>
          <w:rStyle w:val="hps"/>
          <w:i/>
          <w:iCs/>
        </w:rPr>
        <w:t>εξωτερική</w:t>
      </w:r>
      <w:r w:rsidRPr="00647188">
        <w:rPr>
          <w:i/>
          <w:iCs/>
        </w:rPr>
        <w:t xml:space="preserve"> </w:t>
      </w:r>
      <w:r w:rsidRPr="00647188">
        <w:rPr>
          <w:rStyle w:val="hps"/>
          <w:i/>
          <w:iCs/>
        </w:rPr>
        <w:t>μονάδα</w:t>
      </w:r>
      <w:r w:rsidRPr="00647188">
        <w:rPr>
          <w:i/>
          <w:iCs/>
        </w:rPr>
        <w:t xml:space="preserve"> </w:t>
      </w:r>
      <w:r w:rsidRPr="00647188">
        <w:rPr>
          <w:rStyle w:val="hps"/>
          <w:i/>
          <w:iCs/>
        </w:rPr>
        <w:t>«</w:t>
      </w:r>
      <w:r w:rsidRPr="00647188">
        <w:rPr>
          <w:i/>
          <w:iCs/>
        </w:rPr>
        <w:t xml:space="preserve">διήθησης </w:t>
      </w:r>
      <w:r w:rsidRPr="00647188">
        <w:rPr>
          <w:rStyle w:val="hps"/>
          <w:i/>
          <w:iCs/>
        </w:rPr>
        <w:t>κενού</w:t>
      </w:r>
      <w:r w:rsidRPr="00647188">
        <w:rPr>
          <w:i/>
          <w:iCs/>
        </w:rPr>
        <w:t xml:space="preserve">» </w:t>
      </w:r>
      <w:r w:rsidRPr="00647188">
        <w:rPr>
          <w:rStyle w:val="hps"/>
          <w:i/>
          <w:iCs/>
        </w:rPr>
        <w:t>για τη συλλογή</w:t>
      </w:r>
      <w:r w:rsidRPr="00647188">
        <w:rPr>
          <w:i/>
          <w:iCs/>
        </w:rPr>
        <w:t xml:space="preserve"> </w:t>
      </w:r>
      <w:r w:rsidRPr="00647188">
        <w:rPr>
          <w:rStyle w:val="hps"/>
          <w:i/>
          <w:iCs/>
        </w:rPr>
        <w:t>σωματιδίων</w:t>
      </w:r>
      <w:r w:rsidRPr="00647188">
        <w:rPr>
          <w:i/>
          <w:iCs/>
        </w:rPr>
        <w:t xml:space="preserve"> </w:t>
      </w:r>
      <w:r w:rsidRPr="00647188">
        <w:rPr>
          <w:rStyle w:val="hps"/>
          <w:i/>
          <w:iCs/>
        </w:rPr>
        <w:t>που εκπέμπονται</w:t>
      </w:r>
      <w:r w:rsidRPr="00647188">
        <w:rPr>
          <w:i/>
          <w:iCs/>
        </w:rPr>
        <w:t xml:space="preserve"> </w:t>
      </w:r>
      <w:r w:rsidRPr="00647188">
        <w:rPr>
          <w:rStyle w:val="hps"/>
          <w:i/>
          <w:iCs/>
        </w:rPr>
        <w:t>από</w:t>
      </w:r>
      <w:r w:rsidRPr="00647188">
        <w:rPr>
          <w:i/>
          <w:iCs/>
        </w:rPr>
        <w:t xml:space="preserve"> </w:t>
      </w:r>
      <w:r w:rsidRPr="00647188">
        <w:rPr>
          <w:rStyle w:val="hps"/>
          <w:i/>
          <w:iCs/>
        </w:rPr>
        <w:t>τη</w:t>
      </w:r>
      <w:r w:rsidRPr="00647188">
        <w:rPr>
          <w:i/>
          <w:iCs/>
        </w:rPr>
        <w:t xml:space="preserve"> </w:t>
      </w:r>
      <w:r w:rsidRPr="00647188">
        <w:rPr>
          <w:rStyle w:val="hps"/>
          <w:i/>
          <w:iCs/>
        </w:rPr>
        <w:t>διαδικασία λείανσης</w:t>
      </w:r>
      <w:r w:rsidRPr="00647188">
        <w:rPr>
          <w:i/>
          <w:iCs/>
        </w:rPr>
        <w:t>.</w:t>
      </w:r>
    </w:p>
    <w:p w14:paraId="4ED915F9" w14:textId="17E4BC40" w:rsidR="005C5BC5" w:rsidRPr="00647188" w:rsidRDefault="00A35C2C" w:rsidP="006C6C86">
      <w:pPr>
        <w:pStyle w:val="Web"/>
        <w:tabs>
          <w:tab w:val="left" w:pos="567"/>
        </w:tabs>
        <w:spacing w:line="360" w:lineRule="auto"/>
        <w:ind w:firstLine="284"/>
        <w:contextualSpacing/>
        <w:jc w:val="both"/>
        <w:textAlignment w:val="baseline"/>
        <w:rPr>
          <w:rStyle w:val="hps"/>
        </w:rPr>
      </w:pPr>
      <w:r w:rsidRPr="00647188">
        <w:t>Θα πρέπει να εξετασθεί αν οι ρυθμίσεις αποτελούν Μ</w:t>
      </w:r>
      <w:r w:rsidR="006B1C54" w:rsidRPr="00647188">
        <w:t>.</w:t>
      </w:r>
      <w:r w:rsidRPr="00647188">
        <w:t>Ι</w:t>
      </w:r>
      <w:r w:rsidR="006B1C54" w:rsidRPr="00647188">
        <w:t>.</w:t>
      </w:r>
      <w:r w:rsidRPr="00647188">
        <w:t>Α</w:t>
      </w:r>
      <w:r w:rsidR="006B1C54" w:rsidRPr="00647188">
        <w:t>.</w:t>
      </w:r>
      <w:r w:rsidRPr="00647188">
        <w:t>Π</w:t>
      </w:r>
      <w:r w:rsidR="006B1C54" w:rsidRPr="00647188">
        <w:t>.</w:t>
      </w:r>
      <w:r w:rsidRPr="00647188">
        <w:t>Π. Πληρούν τα δύο στοιχεία της έννοιας του Μ</w:t>
      </w:r>
      <w:r w:rsidR="006B1C54" w:rsidRPr="00647188">
        <w:t>.</w:t>
      </w:r>
      <w:r w:rsidRPr="00647188">
        <w:t>Ι</w:t>
      </w:r>
      <w:r w:rsidR="006B1C54" w:rsidRPr="00647188">
        <w:t>.</w:t>
      </w:r>
      <w:r w:rsidRPr="00647188">
        <w:t>Α</w:t>
      </w:r>
      <w:r w:rsidR="006B1C54" w:rsidRPr="00647188">
        <w:t>.</w:t>
      </w:r>
      <w:r w:rsidRPr="00647188">
        <w:t>Π</w:t>
      </w:r>
      <w:r w:rsidR="006B1C54" w:rsidRPr="00647188">
        <w:t>.</w:t>
      </w:r>
      <w:r w:rsidRPr="00647188">
        <w:t>Π</w:t>
      </w:r>
      <w:r w:rsidR="006B1C54" w:rsidRPr="00647188">
        <w:t>.</w:t>
      </w:r>
      <w:r w:rsidRPr="00647188">
        <w:t xml:space="preserve"> κατά την απόφαση στην υπόθεση </w:t>
      </w:r>
      <w:proofErr w:type="spellStart"/>
      <w:r w:rsidRPr="00647188">
        <w:rPr>
          <w:i/>
          <w:iCs/>
          <w:lang w:val="en-US"/>
        </w:rPr>
        <w:t>Dassonville</w:t>
      </w:r>
      <w:proofErr w:type="spellEnd"/>
      <w:r w:rsidRPr="00647188">
        <w:t xml:space="preserve">: πρόκειται για </w:t>
      </w:r>
      <w:r w:rsidR="005C5BC5" w:rsidRPr="00647188">
        <w:rPr>
          <w:rStyle w:val="hps"/>
        </w:rPr>
        <w:t>α) εμπορ</w:t>
      </w:r>
      <w:r w:rsidR="006B1C54" w:rsidRPr="00647188">
        <w:rPr>
          <w:rStyle w:val="hps"/>
        </w:rPr>
        <w:t>ική</w:t>
      </w:r>
      <w:r w:rsidR="005C5BC5" w:rsidRPr="00647188">
        <w:rPr>
          <w:rStyle w:val="hps"/>
        </w:rPr>
        <w:t xml:space="preserve"> ρύθμιση</w:t>
      </w:r>
      <w:r w:rsidRPr="00647188">
        <w:rPr>
          <w:rStyle w:val="hps"/>
        </w:rPr>
        <w:t xml:space="preserve"> με </w:t>
      </w:r>
      <w:r w:rsidR="005C5BC5" w:rsidRPr="00647188">
        <w:rPr>
          <w:rStyle w:val="hps"/>
        </w:rPr>
        <w:t>β) αντίκτυπο στο ενδοκοινοτικό εμπόριο, επειδή θα αυξηθούν τα έξοδα για τον Κώστα, θα αυξηθεί η τιμή του προ</w:t>
      </w:r>
      <w:r w:rsidRPr="00647188">
        <w:rPr>
          <w:rStyle w:val="hps"/>
        </w:rPr>
        <w:t>ϊ</w:t>
      </w:r>
      <w:r w:rsidR="005C5BC5" w:rsidRPr="00647188">
        <w:rPr>
          <w:rStyle w:val="hps"/>
        </w:rPr>
        <w:t>όντος</w:t>
      </w:r>
      <w:r w:rsidRPr="00647188">
        <w:rPr>
          <w:rStyle w:val="hps"/>
        </w:rPr>
        <w:t>, επομένως</w:t>
      </w:r>
      <w:r w:rsidR="005C5BC5" w:rsidRPr="00647188">
        <w:rPr>
          <w:rStyle w:val="hps"/>
        </w:rPr>
        <w:t xml:space="preserve"> θα είναι λιγότερο ανταγωνιστικό στην αγορά της Πορτογαλίας</w:t>
      </w:r>
      <w:r w:rsidRPr="00647188">
        <w:rPr>
          <w:rStyle w:val="hps"/>
        </w:rPr>
        <w:t xml:space="preserve">. </w:t>
      </w:r>
      <w:r w:rsidR="006B1C54" w:rsidRPr="00647188">
        <w:rPr>
          <w:rStyle w:val="hps"/>
        </w:rPr>
        <w:t>Ά</w:t>
      </w:r>
      <w:r w:rsidR="005C5BC5" w:rsidRPr="00647188">
        <w:rPr>
          <w:rStyle w:val="hps"/>
        </w:rPr>
        <w:t>ρα</w:t>
      </w:r>
      <w:r w:rsidRPr="00647188">
        <w:rPr>
          <w:rStyle w:val="hps"/>
        </w:rPr>
        <w:t xml:space="preserve">, πρόκειται για </w:t>
      </w:r>
      <w:r w:rsidR="005C5BC5" w:rsidRPr="00647188">
        <w:rPr>
          <w:rStyle w:val="hps"/>
        </w:rPr>
        <w:t xml:space="preserve"> Μ</w:t>
      </w:r>
      <w:r w:rsidR="006B1C54" w:rsidRPr="00647188">
        <w:rPr>
          <w:rStyle w:val="hps"/>
        </w:rPr>
        <w:t>.</w:t>
      </w:r>
      <w:r w:rsidR="005C5BC5" w:rsidRPr="00647188">
        <w:rPr>
          <w:rStyle w:val="hps"/>
        </w:rPr>
        <w:t>Ι</w:t>
      </w:r>
      <w:r w:rsidR="006B1C54" w:rsidRPr="00647188">
        <w:rPr>
          <w:rStyle w:val="hps"/>
        </w:rPr>
        <w:t>.</w:t>
      </w:r>
      <w:r w:rsidR="005C5BC5" w:rsidRPr="00647188">
        <w:rPr>
          <w:rStyle w:val="hps"/>
        </w:rPr>
        <w:t>Α</w:t>
      </w:r>
      <w:r w:rsidR="006B1C54" w:rsidRPr="00647188">
        <w:rPr>
          <w:rStyle w:val="hps"/>
        </w:rPr>
        <w:t>.</w:t>
      </w:r>
      <w:r w:rsidR="005C5BC5" w:rsidRPr="00647188">
        <w:rPr>
          <w:rStyle w:val="hps"/>
        </w:rPr>
        <w:t>Π</w:t>
      </w:r>
      <w:r w:rsidR="006B1C54" w:rsidRPr="00647188">
        <w:rPr>
          <w:rStyle w:val="hps"/>
        </w:rPr>
        <w:t>.</w:t>
      </w:r>
      <w:r w:rsidR="005C5BC5" w:rsidRPr="00647188">
        <w:rPr>
          <w:rStyle w:val="hps"/>
        </w:rPr>
        <w:t>Π</w:t>
      </w:r>
      <w:r w:rsidR="006B1C54" w:rsidRPr="00647188">
        <w:rPr>
          <w:rStyle w:val="hps"/>
        </w:rPr>
        <w:t>.</w:t>
      </w:r>
      <w:r w:rsidR="005C5BC5" w:rsidRPr="00647188">
        <w:rPr>
          <w:rStyle w:val="hps"/>
        </w:rPr>
        <w:t xml:space="preserve"> και παραβιάζ</w:t>
      </w:r>
      <w:r w:rsidR="006B1C54" w:rsidRPr="00647188">
        <w:rPr>
          <w:rStyle w:val="hps"/>
        </w:rPr>
        <w:t>ουν</w:t>
      </w:r>
      <w:r w:rsidR="005C5BC5" w:rsidRPr="00647188">
        <w:rPr>
          <w:rStyle w:val="hps"/>
        </w:rPr>
        <w:t xml:space="preserve"> το </w:t>
      </w:r>
      <w:r w:rsidRPr="00647188">
        <w:rPr>
          <w:rStyle w:val="hps"/>
        </w:rPr>
        <w:t xml:space="preserve">ά. </w:t>
      </w:r>
      <w:r w:rsidR="005C5BC5" w:rsidRPr="00647188">
        <w:rPr>
          <w:rStyle w:val="hps"/>
        </w:rPr>
        <w:t xml:space="preserve">34 </w:t>
      </w:r>
      <w:r w:rsidRPr="00647188">
        <w:rPr>
          <w:rStyle w:val="hps"/>
        </w:rPr>
        <w:t xml:space="preserve"> ΣΛΕΕ</w:t>
      </w:r>
      <w:r w:rsidR="005C5BC5" w:rsidRPr="00647188">
        <w:rPr>
          <w:rStyle w:val="hps"/>
        </w:rPr>
        <w:t>.</w:t>
      </w:r>
    </w:p>
    <w:p w14:paraId="1DAD7001" w14:textId="21AE862B" w:rsidR="00A35C2C" w:rsidRPr="00647188" w:rsidRDefault="00A35C2C" w:rsidP="006C6C86">
      <w:pPr>
        <w:pStyle w:val="Web"/>
        <w:tabs>
          <w:tab w:val="left" w:pos="567"/>
        </w:tabs>
        <w:spacing w:line="360" w:lineRule="auto"/>
        <w:ind w:firstLine="284"/>
        <w:contextualSpacing/>
        <w:jc w:val="both"/>
        <w:textAlignment w:val="baseline"/>
        <w:rPr>
          <w:rStyle w:val="hps"/>
        </w:rPr>
      </w:pPr>
    </w:p>
    <w:p w14:paraId="5DDC689E" w14:textId="5D2F8EDE" w:rsidR="00FC3424" w:rsidRPr="00647188" w:rsidRDefault="00A35C2C" w:rsidP="006C6C86">
      <w:pPr>
        <w:pStyle w:val="Web"/>
        <w:tabs>
          <w:tab w:val="left" w:pos="567"/>
        </w:tabs>
        <w:spacing w:line="360" w:lineRule="auto"/>
        <w:ind w:firstLine="284"/>
        <w:contextualSpacing/>
        <w:jc w:val="both"/>
        <w:textAlignment w:val="baseline"/>
        <w:rPr>
          <w:rStyle w:val="hps"/>
        </w:rPr>
      </w:pPr>
      <w:r w:rsidRPr="00647188">
        <w:rPr>
          <w:rStyle w:val="hps"/>
          <w:b/>
          <w:bCs/>
        </w:rPr>
        <w:t xml:space="preserve">2. </w:t>
      </w:r>
      <w:r w:rsidR="00334ACB" w:rsidRPr="00647188">
        <w:t>Ως προς το αν</w:t>
      </w:r>
      <w:r w:rsidR="00033369" w:rsidRPr="00647188">
        <w:t xml:space="preserve"> </w:t>
      </w:r>
      <w:r w:rsidR="00033369" w:rsidRPr="00647188">
        <w:rPr>
          <w:lang w:val="en-US"/>
        </w:rPr>
        <w:t>o</w:t>
      </w:r>
      <w:r w:rsidR="006B1C54" w:rsidRPr="00647188">
        <w:t xml:space="preserve">ι </w:t>
      </w:r>
      <w:r w:rsidR="00033369" w:rsidRPr="00647188">
        <w:rPr>
          <w:rStyle w:val="hps"/>
        </w:rPr>
        <w:t>ρυθμίσεις για την προστασία της υγείας</w:t>
      </w:r>
      <w:r w:rsidR="00033369" w:rsidRPr="00647188">
        <w:t xml:space="preserve"> </w:t>
      </w:r>
      <w:r w:rsidR="00033369" w:rsidRPr="00647188">
        <w:rPr>
          <w:rStyle w:val="hps"/>
        </w:rPr>
        <w:t>και την ασφάλεια</w:t>
      </w:r>
      <w:r w:rsidR="00033369" w:rsidRPr="00647188">
        <w:t xml:space="preserve"> </w:t>
      </w:r>
      <w:r w:rsidR="00033369" w:rsidRPr="00647188">
        <w:rPr>
          <w:rStyle w:val="hps"/>
        </w:rPr>
        <w:t>που απαιτούν</w:t>
      </w:r>
      <w:r w:rsidR="00033369" w:rsidRPr="00647188">
        <w:t xml:space="preserve"> </w:t>
      </w:r>
      <w:r w:rsidR="00033369" w:rsidRPr="00647188">
        <w:rPr>
          <w:rStyle w:val="hps"/>
        </w:rPr>
        <w:t>όλες οι  μηχανές λείανσης μαρμάρου να είναι εφοδιασμένες</w:t>
      </w:r>
      <w:r w:rsidR="00033369" w:rsidRPr="00647188">
        <w:t xml:space="preserve"> </w:t>
      </w:r>
      <w:r w:rsidR="00033369" w:rsidRPr="00647188">
        <w:rPr>
          <w:rStyle w:val="hps"/>
        </w:rPr>
        <w:t>με</w:t>
      </w:r>
      <w:r w:rsidR="00033369" w:rsidRPr="00647188">
        <w:t xml:space="preserve"> </w:t>
      </w:r>
      <w:r w:rsidR="00033369" w:rsidRPr="00647188">
        <w:rPr>
          <w:rStyle w:val="hps"/>
        </w:rPr>
        <w:t>εξωτερική</w:t>
      </w:r>
      <w:r w:rsidR="00033369" w:rsidRPr="00647188">
        <w:t xml:space="preserve"> </w:t>
      </w:r>
      <w:r w:rsidR="00033369" w:rsidRPr="00647188">
        <w:rPr>
          <w:rStyle w:val="hps"/>
        </w:rPr>
        <w:t>μονάδα</w:t>
      </w:r>
      <w:r w:rsidR="00033369" w:rsidRPr="00647188">
        <w:t xml:space="preserve"> </w:t>
      </w:r>
      <w:r w:rsidR="00033369" w:rsidRPr="00647188">
        <w:rPr>
          <w:rStyle w:val="hps"/>
        </w:rPr>
        <w:t>«</w:t>
      </w:r>
      <w:r w:rsidR="00033369" w:rsidRPr="00647188">
        <w:t xml:space="preserve">διήθησης </w:t>
      </w:r>
      <w:r w:rsidR="00033369" w:rsidRPr="00647188">
        <w:rPr>
          <w:rStyle w:val="hps"/>
        </w:rPr>
        <w:t>κενού</w:t>
      </w:r>
      <w:r w:rsidR="00033369" w:rsidRPr="00647188">
        <w:t>»</w:t>
      </w:r>
      <w:r w:rsidR="00033369" w:rsidRPr="00647188">
        <w:rPr>
          <w:i/>
          <w:iCs/>
          <w:u w:val="single"/>
        </w:rPr>
        <w:t xml:space="preserve"> </w:t>
      </w:r>
      <w:r w:rsidR="00033369" w:rsidRPr="00647188">
        <w:t>δ</w:t>
      </w:r>
      <w:r w:rsidR="00334ACB" w:rsidRPr="00647188">
        <w:t>ικαιολογ</w:t>
      </w:r>
      <w:r w:rsidR="00033369" w:rsidRPr="00647188">
        <w:t>ούν</w:t>
      </w:r>
      <w:r w:rsidR="00334ACB" w:rsidRPr="00647188">
        <w:t xml:space="preserve">ται για λόγους προστασίας της δημόσιας υγείας του ά. 36 ΣΛΕΕ, η απάντηση είναι αρνητική, αφού </w:t>
      </w:r>
      <w:proofErr w:type="spellStart"/>
      <w:r w:rsidR="00334ACB" w:rsidRPr="00647188">
        <w:rPr>
          <w:lang w:val="en-US"/>
        </w:rPr>
        <w:t>i</w:t>
      </w:r>
      <w:proofErr w:type="spellEnd"/>
      <w:r w:rsidR="00334ACB" w:rsidRPr="00647188">
        <w:t xml:space="preserve">. το μέτρο </w:t>
      </w:r>
      <w:r w:rsidR="00033369" w:rsidRPr="00647188">
        <w:t xml:space="preserve">δεν </w:t>
      </w:r>
      <w:r w:rsidR="00334ACB" w:rsidRPr="00647188">
        <w:t>κάνει αυθαίρετη διάκριση (ά. 36, β΄ ΣΛΕΕ) επειδή</w:t>
      </w:r>
      <w:r w:rsidR="00033369" w:rsidRPr="00647188">
        <w:t xml:space="preserve"> οι ρυθμίσεις εφαρμόζονται και στις πορτογαλικές και στις εισαγόμενες μηχανές</w:t>
      </w:r>
      <w:r w:rsidR="006B1C54" w:rsidRPr="00647188">
        <w:t>,</w:t>
      </w:r>
      <w:r w:rsidR="00033369" w:rsidRPr="00647188">
        <w:t xml:space="preserve"> </w:t>
      </w:r>
      <w:r w:rsidR="00334ACB" w:rsidRPr="00647188">
        <w:t xml:space="preserve"> άρα δεν θέτουν σε κίνδυνο την δημόσια υγεία</w:t>
      </w:r>
      <w:r w:rsidR="006B1C54" w:rsidRPr="00647188">
        <w:t xml:space="preserve"> και </w:t>
      </w:r>
      <w:r w:rsidR="00225042" w:rsidRPr="00647188">
        <w:t>το μέτρο</w:t>
      </w:r>
      <w:r w:rsidR="006B1C54" w:rsidRPr="00647188">
        <w:t xml:space="preserve"> φαίνεται να εξυπηρετεί πραγματικά τον σκοπό της προστασίας της δημόσιας υγείας </w:t>
      </w:r>
      <w:r w:rsidR="009F582C" w:rsidRPr="00647188">
        <w:t xml:space="preserve"> αλλά </w:t>
      </w:r>
      <w:r w:rsidR="00FC3424" w:rsidRPr="00647188">
        <w:rPr>
          <w:lang w:val="en-US"/>
        </w:rPr>
        <w:t>ii</w:t>
      </w:r>
      <w:r w:rsidR="00FC3424" w:rsidRPr="00647188">
        <w:t xml:space="preserve">. </w:t>
      </w:r>
      <w:r w:rsidR="009F582C" w:rsidRPr="00647188">
        <w:t>δεν φαίνεται ανάλογο με τον σκοπό που επιδιώκει, δηλαδή την προστασία της δημόσιας υγείας, αφού</w:t>
      </w:r>
      <w:r w:rsidR="00FC3424" w:rsidRPr="00647188">
        <w:t xml:space="preserve"> τα αποτελέσματα</w:t>
      </w:r>
      <w:r w:rsidR="00FC3424" w:rsidRPr="00647188">
        <w:rPr>
          <w:rStyle w:val="hps"/>
        </w:rPr>
        <w:t xml:space="preserve"> της έρευνας εκτείνονται </w:t>
      </w:r>
      <w:r w:rsidR="009F582C" w:rsidRPr="00647188">
        <w:rPr>
          <w:rStyle w:val="hps"/>
        </w:rPr>
        <w:t xml:space="preserve"> μόλις </w:t>
      </w:r>
      <w:r w:rsidR="00FC3424" w:rsidRPr="00647188">
        <w:rPr>
          <w:rStyle w:val="hps"/>
        </w:rPr>
        <w:t>στους προηγούμενους</w:t>
      </w:r>
      <w:r w:rsidR="00FC3424" w:rsidRPr="00647188">
        <w:rPr>
          <w:rStyle w:val="hps"/>
          <w:u w:val="single"/>
        </w:rPr>
        <w:t xml:space="preserve"> </w:t>
      </w:r>
      <w:r w:rsidR="009F582C" w:rsidRPr="00647188">
        <w:rPr>
          <w:rStyle w:val="hps"/>
        </w:rPr>
        <w:t xml:space="preserve">6 μήνες </w:t>
      </w:r>
      <w:r w:rsidR="00FC3424" w:rsidRPr="00647188">
        <w:rPr>
          <w:rStyle w:val="hps"/>
        </w:rPr>
        <w:t>και ο Κώστα προβάλλει ως αντεπιχείρημα ότι η εσωτερ</w:t>
      </w:r>
      <w:r w:rsidR="00816E4B" w:rsidRPr="00647188">
        <w:rPr>
          <w:rStyle w:val="hps"/>
        </w:rPr>
        <w:t>ι</w:t>
      </w:r>
      <w:r w:rsidR="00FC3424" w:rsidRPr="00647188">
        <w:rPr>
          <w:rStyle w:val="hps"/>
        </w:rPr>
        <w:t>κή  μονάδα διήθησης κενού είναι  πιο αποτελεσματική</w:t>
      </w:r>
      <w:r w:rsidR="00225042" w:rsidRPr="00647188">
        <w:rPr>
          <w:rStyle w:val="hps"/>
        </w:rPr>
        <w:t xml:space="preserve">. </w:t>
      </w:r>
      <w:r w:rsidR="00FC3424" w:rsidRPr="00647188">
        <w:rPr>
          <w:rStyle w:val="hps"/>
        </w:rPr>
        <w:t>Ά</w:t>
      </w:r>
      <w:r w:rsidR="00225042" w:rsidRPr="00647188">
        <w:rPr>
          <w:rStyle w:val="hps"/>
        </w:rPr>
        <w:t>ρα</w:t>
      </w:r>
      <w:r w:rsidR="00FC3424" w:rsidRPr="00647188">
        <w:rPr>
          <w:rStyle w:val="hps"/>
        </w:rPr>
        <w:t xml:space="preserve">, </w:t>
      </w:r>
      <w:r w:rsidR="00225042" w:rsidRPr="00647188">
        <w:rPr>
          <w:rStyle w:val="hps"/>
        </w:rPr>
        <w:t xml:space="preserve">το μέτρο </w:t>
      </w:r>
      <w:r w:rsidR="00FC3424" w:rsidRPr="00647188">
        <w:rPr>
          <w:rStyle w:val="hps"/>
        </w:rPr>
        <w:t>δεν είναι νόμιμο</w:t>
      </w:r>
      <w:r w:rsidR="00225042" w:rsidRPr="00647188">
        <w:rPr>
          <w:rStyle w:val="hps"/>
        </w:rPr>
        <w:t>.</w:t>
      </w:r>
    </w:p>
    <w:p w14:paraId="6BA65CDF" w14:textId="53894F2D" w:rsidR="00FC3424" w:rsidRPr="00647188" w:rsidRDefault="00FC3424" w:rsidP="00647188">
      <w:pPr>
        <w:pStyle w:val="Web"/>
        <w:tabs>
          <w:tab w:val="left" w:pos="567"/>
        </w:tabs>
        <w:spacing w:line="360" w:lineRule="auto"/>
        <w:ind w:firstLine="284"/>
        <w:contextualSpacing/>
        <w:jc w:val="both"/>
        <w:textAlignment w:val="baseline"/>
        <w:rPr>
          <w:rStyle w:val="hps"/>
        </w:rPr>
      </w:pPr>
      <w:r w:rsidRPr="00647188">
        <w:rPr>
          <w:rStyle w:val="hps"/>
        </w:rPr>
        <w:t xml:space="preserve">Εξάλλου, βρίσκει εφαρμογή και η αρχή της αμοιβαίας αναγνώρισης, την οποία το ΔΕΚ διατύπωσε στην υπόθεση </w:t>
      </w:r>
      <w:r w:rsidRPr="00647188">
        <w:rPr>
          <w:rStyle w:val="hps"/>
          <w:i/>
          <w:iCs/>
          <w:lang w:val="en-US"/>
        </w:rPr>
        <w:t>Cassis</w:t>
      </w:r>
      <w:r w:rsidRPr="00647188">
        <w:rPr>
          <w:rStyle w:val="hps"/>
          <w:i/>
          <w:iCs/>
        </w:rPr>
        <w:t xml:space="preserve"> </w:t>
      </w:r>
      <w:r w:rsidRPr="00647188">
        <w:rPr>
          <w:rStyle w:val="hps"/>
          <w:i/>
          <w:iCs/>
          <w:lang w:val="en-US"/>
        </w:rPr>
        <w:t>de</w:t>
      </w:r>
      <w:r w:rsidRPr="00647188">
        <w:rPr>
          <w:rStyle w:val="hps"/>
          <w:i/>
          <w:iCs/>
        </w:rPr>
        <w:t xml:space="preserve"> </w:t>
      </w:r>
      <w:r w:rsidRPr="00647188">
        <w:rPr>
          <w:rStyle w:val="hps"/>
          <w:i/>
          <w:iCs/>
          <w:lang w:val="en-US"/>
        </w:rPr>
        <w:t>Dijon</w:t>
      </w:r>
      <w:r w:rsidRPr="00647188">
        <w:rPr>
          <w:rStyle w:val="hps"/>
          <w:i/>
          <w:iCs/>
        </w:rPr>
        <w:t xml:space="preserve">, </w:t>
      </w:r>
      <w:r w:rsidRPr="00647188">
        <w:rPr>
          <w:rStyle w:val="hps"/>
        </w:rPr>
        <w:t xml:space="preserve"> κατά την οποία τα προϊόντα που παράγονται </w:t>
      </w:r>
      <w:r w:rsidR="00816E4B" w:rsidRPr="00647188">
        <w:rPr>
          <w:rStyle w:val="hps"/>
        </w:rPr>
        <w:t>και</w:t>
      </w:r>
      <w:r w:rsidRPr="00647188">
        <w:rPr>
          <w:rStyle w:val="hps"/>
        </w:rPr>
        <w:t xml:space="preserve"> πωλούνται νομίμως σε ένα </w:t>
      </w:r>
      <w:r w:rsidR="00225042" w:rsidRPr="00647188">
        <w:rPr>
          <w:rStyle w:val="hps"/>
        </w:rPr>
        <w:t>Κ</w:t>
      </w:r>
      <w:r w:rsidR="00816E4B" w:rsidRPr="00647188">
        <w:rPr>
          <w:rStyle w:val="hps"/>
        </w:rPr>
        <w:t>ράτος</w:t>
      </w:r>
      <w:r w:rsidR="00225042" w:rsidRPr="00647188">
        <w:rPr>
          <w:rStyle w:val="hps"/>
        </w:rPr>
        <w:t>-</w:t>
      </w:r>
      <w:r w:rsidRPr="00647188">
        <w:rPr>
          <w:rStyle w:val="hps"/>
        </w:rPr>
        <w:t>μ</w:t>
      </w:r>
      <w:r w:rsidR="00816E4B" w:rsidRPr="00647188">
        <w:rPr>
          <w:rStyle w:val="hps"/>
        </w:rPr>
        <w:t>έλος</w:t>
      </w:r>
      <w:r w:rsidRPr="00647188">
        <w:rPr>
          <w:rStyle w:val="hps"/>
        </w:rPr>
        <w:t xml:space="preserve">, πωλούνται χωρίς περιορισμούς σε άλλα </w:t>
      </w:r>
      <w:r w:rsidR="00225042" w:rsidRPr="00647188">
        <w:rPr>
          <w:rStyle w:val="hps"/>
        </w:rPr>
        <w:t>Κράτη-μέλη</w:t>
      </w:r>
      <w:r w:rsidRPr="00647188">
        <w:rPr>
          <w:rStyle w:val="hps"/>
        </w:rPr>
        <w:t>. Δ</w:t>
      </w:r>
      <w:r w:rsidR="00225042" w:rsidRPr="00647188">
        <w:rPr>
          <w:rStyle w:val="hps"/>
        </w:rPr>
        <w:t>εν</w:t>
      </w:r>
      <w:r w:rsidRPr="00647188">
        <w:rPr>
          <w:rStyle w:val="hps"/>
        </w:rPr>
        <w:t xml:space="preserve"> </w:t>
      </w:r>
      <w:r w:rsidR="00225042" w:rsidRPr="00647188">
        <w:rPr>
          <w:rStyle w:val="hps"/>
        </w:rPr>
        <w:t>απαιτείτ</w:t>
      </w:r>
      <w:r w:rsidRPr="00647188">
        <w:rPr>
          <w:rStyle w:val="hps"/>
        </w:rPr>
        <w:t>αι εναρμόνιση τεχν</w:t>
      </w:r>
      <w:r w:rsidR="00225042" w:rsidRPr="00647188">
        <w:rPr>
          <w:rStyle w:val="hps"/>
        </w:rPr>
        <w:t>ικών</w:t>
      </w:r>
      <w:r w:rsidRPr="00647188">
        <w:rPr>
          <w:rStyle w:val="hps"/>
        </w:rPr>
        <w:t xml:space="preserve"> προδιαγραφών)</w:t>
      </w:r>
      <w:r w:rsidR="00225042" w:rsidRPr="00647188">
        <w:rPr>
          <w:rStyle w:val="hps"/>
        </w:rPr>
        <w:t>.</w:t>
      </w:r>
    </w:p>
    <w:p w14:paraId="43099B44" w14:textId="77777777" w:rsidR="00F23B9A" w:rsidRPr="00647188" w:rsidRDefault="00F23B9A" w:rsidP="00F23B9A">
      <w:pPr>
        <w:pStyle w:val="Web"/>
        <w:tabs>
          <w:tab w:val="left" w:pos="567"/>
        </w:tabs>
        <w:spacing w:line="360" w:lineRule="auto"/>
        <w:contextualSpacing/>
        <w:jc w:val="both"/>
        <w:textAlignment w:val="baseline"/>
        <w:rPr>
          <w:rStyle w:val="hps"/>
        </w:rPr>
      </w:pPr>
      <w:bookmarkStart w:id="1" w:name="_GoBack"/>
      <w:bookmarkEnd w:id="1"/>
    </w:p>
    <w:p w14:paraId="36E86D8C" w14:textId="7A097680" w:rsidR="0001120A" w:rsidRPr="00F23B9A" w:rsidRDefault="00F23B9A" w:rsidP="00F23B9A">
      <w:pPr>
        <w:tabs>
          <w:tab w:val="left" w:pos="567"/>
        </w:tabs>
        <w:spacing w:line="360" w:lineRule="auto"/>
        <w:ind w:firstLine="284"/>
        <w:contextualSpacing/>
        <w:jc w:val="both"/>
        <w:rPr>
          <w:rStyle w:val="hps"/>
          <w:u w:val="single"/>
        </w:rPr>
      </w:pPr>
      <w:r w:rsidRPr="00F23B9A">
        <w:rPr>
          <w:rStyle w:val="hps"/>
          <w:b/>
          <w:bCs/>
          <w:u w:val="single"/>
        </w:rPr>
        <w:t>ΛΥΣΗ</w:t>
      </w:r>
      <w:r w:rsidRPr="00F23B9A">
        <w:rPr>
          <w:rStyle w:val="hps"/>
          <w:u w:val="single"/>
        </w:rPr>
        <w:t xml:space="preserve"> - </w:t>
      </w:r>
      <w:r w:rsidR="0001120A" w:rsidRPr="00F23B9A">
        <w:rPr>
          <w:rStyle w:val="hps"/>
          <w:b/>
          <w:bCs/>
          <w:u w:val="single"/>
        </w:rPr>
        <w:t>ΘΕΜΑ 2</w:t>
      </w:r>
    </w:p>
    <w:bookmarkEnd w:id="0"/>
    <w:p w14:paraId="663C888C" w14:textId="1585861E" w:rsidR="003D391F" w:rsidRPr="00647188" w:rsidRDefault="004E7940" w:rsidP="00647188">
      <w:pPr>
        <w:spacing w:line="360" w:lineRule="auto"/>
        <w:contextualSpacing/>
        <w:jc w:val="both"/>
      </w:pPr>
      <w:r w:rsidRPr="00647188">
        <w:rPr>
          <w:b/>
          <w:bCs/>
        </w:rPr>
        <w:t>1.</w:t>
      </w:r>
      <w:r w:rsidR="00CC731A" w:rsidRPr="00647188">
        <w:rPr>
          <w:b/>
          <w:bCs/>
        </w:rPr>
        <w:t xml:space="preserve"> </w:t>
      </w:r>
      <w:r w:rsidRPr="00647188">
        <w:rPr>
          <w:u w:val="single"/>
        </w:rPr>
        <w:t>1</w:t>
      </w:r>
      <w:r w:rsidRPr="00647188">
        <w:rPr>
          <w:u w:val="single"/>
          <w:lang w:val="en-US"/>
        </w:rPr>
        <w:t>o</w:t>
      </w:r>
      <w:r w:rsidRPr="00647188">
        <w:rPr>
          <w:u w:val="single"/>
        </w:rPr>
        <w:t xml:space="preserve"> ζήτημα </w:t>
      </w:r>
      <w:r w:rsidR="00225042" w:rsidRPr="00647188">
        <w:rPr>
          <w:u w:val="single"/>
        </w:rPr>
        <w:t xml:space="preserve">: </w:t>
      </w:r>
      <w:r w:rsidR="00225042" w:rsidRPr="00647188">
        <w:t>Θα πρέπει να εξετασθεί η</w:t>
      </w:r>
      <w:r w:rsidR="00BD4FB5" w:rsidRPr="00647188">
        <w:t xml:space="preserve"> εξάρτηση των δύο </w:t>
      </w:r>
      <w:r w:rsidR="00225042" w:rsidRPr="00647188">
        <w:t xml:space="preserve">αυτών </w:t>
      </w:r>
      <w:r w:rsidR="00BD4FB5" w:rsidRPr="00647188">
        <w:t>μελών της οικογένειας, ενός στενού</w:t>
      </w:r>
      <w:r w:rsidR="00225042" w:rsidRPr="00647188">
        <w:t xml:space="preserve"> (</w:t>
      </w:r>
      <w:r w:rsidR="00225042" w:rsidRPr="00647188">
        <w:rPr>
          <w:lang w:val="en-US"/>
        </w:rPr>
        <w:t>Beatrice</w:t>
      </w:r>
      <w:r w:rsidR="00225042" w:rsidRPr="00647188">
        <w:t>)</w:t>
      </w:r>
      <w:r w:rsidR="00BD4FB5" w:rsidRPr="00647188">
        <w:t xml:space="preserve"> και ενός που δεν είναι άμεσο μέλος της οικογένειας</w:t>
      </w:r>
      <w:r w:rsidR="00225042" w:rsidRPr="00647188">
        <w:t xml:space="preserve"> (</w:t>
      </w:r>
      <w:r w:rsidR="00225042" w:rsidRPr="00647188">
        <w:rPr>
          <w:lang w:val="en-US"/>
        </w:rPr>
        <w:t>Bilge</w:t>
      </w:r>
      <w:r w:rsidR="00225042" w:rsidRPr="00647188">
        <w:t xml:space="preserve">). </w:t>
      </w:r>
      <w:r w:rsidR="00D625B6" w:rsidRPr="00647188">
        <w:t>Το σχετικό δίκαιο</w:t>
      </w:r>
      <w:r w:rsidR="00BD4FB5" w:rsidRPr="00647188">
        <w:t xml:space="preserve"> περιλαμβάνει τα ά</w:t>
      </w:r>
      <w:r w:rsidR="009761CE" w:rsidRPr="00647188">
        <w:t>.</w:t>
      </w:r>
      <w:r w:rsidR="00BD4FB5" w:rsidRPr="00647188">
        <w:t xml:space="preserve"> 20-21 ΣΛΕΕ </w:t>
      </w:r>
      <w:r w:rsidR="00647188" w:rsidRPr="00647188">
        <w:t xml:space="preserve">περί </w:t>
      </w:r>
      <w:r w:rsidR="00BD4FB5" w:rsidRPr="00647188">
        <w:t xml:space="preserve">ιθαγένειας, την </w:t>
      </w:r>
      <w:r w:rsidR="00225042" w:rsidRPr="00647188">
        <w:t>Ο</w:t>
      </w:r>
      <w:r w:rsidR="00BD4FB5" w:rsidRPr="00647188">
        <w:t>δηγία 2004/38</w:t>
      </w:r>
      <w:r w:rsidR="00647188" w:rsidRPr="00647188">
        <w:t xml:space="preserve"> για την ιθαγένεια</w:t>
      </w:r>
      <w:r w:rsidR="00BD4FB5" w:rsidRPr="00647188">
        <w:t xml:space="preserve">, τον </w:t>
      </w:r>
      <w:r w:rsidR="00225042" w:rsidRPr="00647188">
        <w:t>Κ</w:t>
      </w:r>
      <w:r w:rsidR="00BD4FB5" w:rsidRPr="00647188">
        <w:t xml:space="preserve">ανονισμό 492/2011 </w:t>
      </w:r>
      <w:r w:rsidR="00647188" w:rsidRPr="00647188">
        <w:rPr>
          <w:rFonts w:eastAsiaTheme="minorEastAsia"/>
          <w:kern w:val="24"/>
        </w:rPr>
        <w:t>για την ελεύθερη κυκλοφορία των εργαζομένων στο εσωτερικό της Ένωσης</w:t>
      </w:r>
      <w:r w:rsidR="00C54112">
        <w:rPr>
          <w:rFonts w:eastAsiaTheme="minorEastAsia"/>
          <w:kern w:val="24"/>
        </w:rPr>
        <w:t xml:space="preserve"> </w:t>
      </w:r>
      <w:r w:rsidR="00BD4FB5" w:rsidRPr="00647188">
        <w:t>και τη σχετική νομολογία του Δικαστηρίου</w:t>
      </w:r>
      <w:r w:rsidR="00225042" w:rsidRPr="00647188">
        <w:t>.</w:t>
      </w:r>
    </w:p>
    <w:p w14:paraId="15842115" w14:textId="77777777" w:rsidR="00321AF2" w:rsidRPr="00647188" w:rsidRDefault="00321AF2" w:rsidP="00647188">
      <w:pPr>
        <w:spacing w:line="360" w:lineRule="auto"/>
        <w:contextualSpacing/>
        <w:jc w:val="both"/>
      </w:pPr>
    </w:p>
    <w:p w14:paraId="58F8A8EE" w14:textId="7E074B82" w:rsidR="00321AF2" w:rsidRPr="00647188" w:rsidRDefault="00321AF2" w:rsidP="00647188">
      <w:pPr>
        <w:spacing w:line="360" w:lineRule="auto"/>
        <w:contextualSpacing/>
        <w:jc w:val="both"/>
        <w:rPr>
          <w:i/>
          <w:iCs/>
        </w:rPr>
      </w:pPr>
      <w:r w:rsidRPr="00647188">
        <w:rPr>
          <w:i/>
          <w:iCs/>
          <w:lang w:val="en-US"/>
        </w:rPr>
        <w:t>To</w:t>
      </w:r>
      <w:r w:rsidRPr="00647188">
        <w:rPr>
          <w:i/>
          <w:iCs/>
        </w:rPr>
        <w:t xml:space="preserve"> δικαίωμα της </w:t>
      </w:r>
      <w:r w:rsidRPr="00647188">
        <w:rPr>
          <w:i/>
          <w:iCs/>
          <w:lang w:val="en-US"/>
        </w:rPr>
        <w:t>Beatrice</w:t>
      </w:r>
      <w:r w:rsidRPr="00647188">
        <w:rPr>
          <w:i/>
          <w:iCs/>
        </w:rPr>
        <w:t xml:space="preserve"> και της </w:t>
      </w:r>
      <w:r w:rsidRPr="00647188">
        <w:rPr>
          <w:i/>
          <w:iCs/>
          <w:lang w:val="en-US"/>
        </w:rPr>
        <w:t>Bilge</w:t>
      </w:r>
      <w:r w:rsidRPr="00647188">
        <w:rPr>
          <w:i/>
          <w:iCs/>
        </w:rPr>
        <w:t xml:space="preserve"> να εισέλθουν και να </w:t>
      </w:r>
      <w:r w:rsidR="00ED2723">
        <w:rPr>
          <w:i/>
          <w:iCs/>
        </w:rPr>
        <w:t>δια</w:t>
      </w:r>
      <w:r w:rsidRPr="00647188">
        <w:rPr>
          <w:i/>
          <w:iCs/>
        </w:rPr>
        <w:t>μείνουν</w:t>
      </w:r>
    </w:p>
    <w:p w14:paraId="52207E29" w14:textId="1851715A" w:rsidR="00A408F7" w:rsidRPr="00647188" w:rsidRDefault="009761CE" w:rsidP="00647188">
      <w:pPr>
        <w:spacing w:line="360" w:lineRule="auto"/>
        <w:contextualSpacing/>
        <w:jc w:val="both"/>
      </w:pPr>
      <w:r w:rsidRPr="00647188">
        <w:t xml:space="preserve">Θα </w:t>
      </w:r>
      <w:r w:rsidR="00911B0C" w:rsidRPr="00647188">
        <w:t xml:space="preserve">πρέπει να </w:t>
      </w:r>
      <w:r w:rsidRPr="00647188">
        <w:t xml:space="preserve">εξετασθεί τόσο </w:t>
      </w:r>
      <w:r w:rsidR="00911B0C" w:rsidRPr="00647188">
        <w:t xml:space="preserve">η νομική βάση </w:t>
      </w:r>
      <w:r w:rsidR="00342F72">
        <w:t>επί</w:t>
      </w:r>
      <w:r w:rsidR="00C54112">
        <w:t xml:space="preserve"> </w:t>
      </w:r>
      <w:r w:rsidR="00911B0C" w:rsidRPr="00647188">
        <w:t>τη</w:t>
      </w:r>
      <w:r w:rsidR="00342F72">
        <w:t>ς</w:t>
      </w:r>
      <w:r w:rsidR="00911B0C" w:rsidRPr="00647188">
        <w:t xml:space="preserve"> οποία</w:t>
      </w:r>
      <w:r w:rsidR="00342F72">
        <w:t>ς</w:t>
      </w:r>
      <w:r w:rsidR="00911B0C" w:rsidRPr="00647188">
        <w:t xml:space="preserve"> μπορούν να εισέλθουν και να </w:t>
      </w:r>
      <w:r w:rsidR="00C54112">
        <w:t>διαμείνουν</w:t>
      </w:r>
      <w:r w:rsidR="00911B0C" w:rsidRPr="00647188">
        <w:t xml:space="preserve"> νόμιμ</w:t>
      </w:r>
      <w:r w:rsidR="00C54112">
        <w:t>α</w:t>
      </w:r>
      <w:r w:rsidR="00911B0C" w:rsidRPr="00647188">
        <w:t xml:space="preserve"> στο κράτος υποδοχής και να διεκδικήσουν διάφορα κοινωνικά δικαιώματα </w:t>
      </w:r>
      <w:r w:rsidRPr="00647188">
        <w:t xml:space="preserve">όσο και το </w:t>
      </w:r>
      <w:r w:rsidR="00911B0C" w:rsidRPr="00647188">
        <w:t>και κατά πόσον οι αρχές του κράτους υποδοχής μπορούν νομίμως να αρνηθούν αυτές τις διεκδικήσεις.</w:t>
      </w:r>
      <w:r w:rsidR="00E33A5C" w:rsidRPr="00647188">
        <w:t xml:space="preserve"> Τα δικαιώματα της </w:t>
      </w:r>
      <w:proofErr w:type="spellStart"/>
      <w:r w:rsidR="00E33A5C" w:rsidRPr="00647188">
        <w:t>Beatrice</w:t>
      </w:r>
      <w:proofErr w:type="spellEnd"/>
      <w:r w:rsidR="00E33A5C" w:rsidRPr="00647188">
        <w:t xml:space="preserve"> και τ</w:t>
      </w:r>
      <w:r w:rsidRPr="00647188">
        <w:t>ης</w:t>
      </w:r>
      <w:r w:rsidR="00E33A5C" w:rsidRPr="00647188">
        <w:t xml:space="preserve"> </w:t>
      </w:r>
      <w:proofErr w:type="spellStart"/>
      <w:r w:rsidR="00E33A5C" w:rsidRPr="00647188">
        <w:t>Bilge</w:t>
      </w:r>
      <w:proofErr w:type="spellEnd"/>
      <w:r w:rsidR="00E33A5C" w:rsidRPr="00647188">
        <w:t xml:space="preserve"> φαίνεται να εξαρτώνται σε μεγάλο βαθμό από τον </w:t>
      </w:r>
      <w:proofErr w:type="spellStart"/>
      <w:r w:rsidR="00E33A5C" w:rsidRPr="00647188">
        <w:t>Pierre</w:t>
      </w:r>
      <w:proofErr w:type="spellEnd"/>
      <w:r w:rsidRPr="00647188">
        <w:t xml:space="preserve">. </w:t>
      </w:r>
      <w:r w:rsidR="00E33A5C" w:rsidRPr="00647188">
        <w:t xml:space="preserve">Η </w:t>
      </w:r>
      <w:r w:rsidRPr="00647188">
        <w:rPr>
          <w:lang w:val="en-US"/>
        </w:rPr>
        <w:t>Bilge</w:t>
      </w:r>
      <w:r w:rsidRPr="00647188">
        <w:t xml:space="preserve"> </w:t>
      </w:r>
      <w:r w:rsidR="00E33A5C" w:rsidRPr="00647188">
        <w:t xml:space="preserve">είναι υπήκοος τρίτης χώρας και δεν έχει από μόνη της κανένα δικαίωμα εισόδου και </w:t>
      </w:r>
      <w:r w:rsidR="00ED2723">
        <w:t>δι</w:t>
      </w:r>
      <w:r w:rsidR="00E33A5C" w:rsidRPr="00647188">
        <w:t>αμονής βάσει τ</w:t>
      </w:r>
      <w:r w:rsidRPr="00647188">
        <w:t xml:space="preserve">ων </w:t>
      </w:r>
      <w:proofErr w:type="spellStart"/>
      <w:r w:rsidRPr="00647188">
        <w:t>ενωσιακών</w:t>
      </w:r>
      <w:proofErr w:type="spellEnd"/>
      <w:r w:rsidRPr="00647188">
        <w:t xml:space="preserve"> διατάξεων περί ελεύθερης κυκλοφορίας </w:t>
      </w:r>
      <w:r w:rsidR="00E33A5C" w:rsidRPr="00647188">
        <w:t xml:space="preserve"> προσώπων</w:t>
      </w:r>
      <w:r w:rsidRPr="00647188">
        <w:t xml:space="preserve">. </w:t>
      </w:r>
      <w:r w:rsidR="00E33A5C" w:rsidRPr="00647188">
        <w:t xml:space="preserve">Συνεπώς, εάν </w:t>
      </w:r>
      <w:r w:rsidRPr="00647188">
        <w:rPr>
          <w:lang w:val="en-US"/>
        </w:rPr>
        <w:t>o</w:t>
      </w:r>
      <w:r w:rsidRPr="00647188">
        <w:t xml:space="preserve"> </w:t>
      </w:r>
      <w:r w:rsidRPr="00647188">
        <w:rPr>
          <w:lang w:val="en-US"/>
        </w:rPr>
        <w:t>Pierre</w:t>
      </w:r>
      <w:r w:rsidRPr="00647188">
        <w:t xml:space="preserve"> </w:t>
      </w:r>
      <w:r w:rsidR="00E33A5C" w:rsidRPr="00647188">
        <w:t xml:space="preserve">δεν έχει δικαίωμα </w:t>
      </w:r>
      <w:r w:rsidR="00C54112">
        <w:t>δι</w:t>
      </w:r>
      <w:r w:rsidR="00E33A5C" w:rsidRPr="00647188">
        <w:t xml:space="preserve">αμονής,  </w:t>
      </w:r>
      <w:r w:rsidR="00C54112">
        <w:t xml:space="preserve">και η </w:t>
      </w:r>
      <w:r w:rsidR="00C54112">
        <w:rPr>
          <w:lang w:val="en-US"/>
        </w:rPr>
        <w:t>Bilge</w:t>
      </w:r>
      <w:r w:rsidR="00C54112" w:rsidRPr="00C54112">
        <w:t xml:space="preserve"> </w:t>
      </w:r>
      <w:r w:rsidR="00C54112">
        <w:t>θα</w:t>
      </w:r>
      <w:r w:rsidR="00C54112" w:rsidRPr="00C54112">
        <w:t xml:space="preserve"> </w:t>
      </w:r>
      <w:r w:rsidR="00E33A5C" w:rsidRPr="00647188">
        <w:t xml:space="preserve">πρέπει επίσης να φύγει. </w:t>
      </w:r>
      <w:r w:rsidRPr="00647188">
        <w:t>Θα π</w:t>
      </w:r>
      <w:r w:rsidR="00E33A5C" w:rsidRPr="00647188">
        <w:t>ρέπει να προσδιοριστεί το καθεστώς τ</w:t>
      </w:r>
      <w:r w:rsidRPr="00647188">
        <w:rPr>
          <w:lang w:val="en-US"/>
        </w:rPr>
        <w:t>o</w:t>
      </w:r>
      <w:r w:rsidRPr="00647188">
        <w:t xml:space="preserve">υ </w:t>
      </w:r>
      <w:r w:rsidRPr="00647188">
        <w:rPr>
          <w:lang w:val="en-US"/>
        </w:rPr>
        <w:t>Pierre</w:t>
      </w:r>
      <w:r w:rsidRPr="00647188">
        <w:t>.</w:t>
      </w:r>
    </w:p>
    <w:p w14:paraId="43FCB8DA" w14:textId="77777777" w:rsidR="001728BD" w:rsidRPr="00647188" w:rsidRDefault="001728BD" w:rsidP="00225042">
      <w:pPr>
        <w:spacing w:line="360" w:lineRule="auto"/>
        <w:contextualSpacing/>
        <w:jc w:val="both"/>
        <w:rPr>
          <w:i/>
          <w:iCs/>
        </w:rPr>
      </w:pPr>
    </w:p>
    <w:p w14:paraId="72FB824B" w14:textId="567D4808" w:rsidR="001728BD" w:rsidRPr="00647188" w:rsidRDefault="001B3EE7" w:rsidP="00225042">
      <w:pPr>
        <w:spacing w:line="360" w:lineRule="auto"/>
        <w:contextualSpacing/>
        <w:jc w:val="both"/>
        <w:rPr>
          <w:i/>
          <w:iCs/>
        </w:rPr>
      </w:pPr>
      <w:r w:rsidRPr="00647188">
        <w:rPr>
          <w:i/>
          <w:iCs/>
        </w:rPr>
        <w:t>Το δ</w:t>
      </w:r>
      <w:r w:rsidR="001728BD" w:rsidRPr="00647188">
        <w:rPr>
          <w:i/>
          <w:iCs/>
        </w:rPr>
        <w:t xml:space="preserve">ικαίωμα εισόδου και </w:t>
      </w:r>
      <w:r w:rsidR="00C54112">
        <w:rPr>
          <w:i/>
          <w:iCs/>
        </w:rPr>
        <w:t>δι</w:t>
      </w:r>
      <w:r w:rsidR="001728BD" w:rsidRPr="00647188">
        <w:rPr>
          <w:i/>
          <w:iCs/>
        </w:rPr>
        <w:t xml:space="preserve">αμονής του </w:t>
      </w:r>
      <w:r w:rsidR="001728BD" w:rsidRPr="00647188">
        <w:rPr>
          <w:i/>
          <w:iCs/>
          <w:lang w:val="en-US"/>
        </w:rPr>
        <w:t>Pierre</w:t>
      </w:r>
    </w:p>
    <w:p w14:paraId="7D1D4E99" w14:textId="35E9AD01" w:rsidR="001728BD" w:rsidRPr="00647188" w:rsidRDefault="001728BD" w:rsidP="00C54112">
      <w:pPr>
        <w:spacing w:line="360" w:lineRule="auto"/>
        <w:contextualSpacing/>
        <w:jc w:val="both"/>
      </w:pPr>
      <w:r w:rsidRPr="00647188">
        <w:t xml:space="preserve">Ο </w:t>
      </w:r>
      <w:r w:rsidRPr="00647188">
        <w:rPr>
          <w:lang w:val="en-US"/>
        </w:rPr>
        <w:t>Pierre</w:t>
      </w:r>
      <w:r w:rsidRPr="00647188">
        <w:t xml:space="preserve"> είναι πολίτης της ΕΕ, όπως ορίζεται στο ά</w:t>
      </w:r>
      <w:r w:rsidR="009761CE" w:rsidRPr="00647188">
        <w:t>.</w:t>
      </w:r>
      <w:r w:rsidRPr="00647188">
        <w:t xml:space="preserve"> 20  ΣΛΕΕ</w:t>
      </w:r>
      <w:r w:rsidR="00342F72">
        <w:t>.</w:t>
      </w:r>
      <w:r w:rsidRPr="00647188">
        <w:t xml:space="preserve"> Συνεπώς, του επιτρέπεται σαφώς η είσοδος και η διαμονή βάσει των άρθρων 20-21 της ΣΛΕΕ. Το άρθρο 5 της </w:t>
      </w:r>
      <w:r w:rsidR="009761CE" w:rsidRPr="00647188">
        <w:t>Ο</w:t>
      </w:r>
      <w:r w:rsidRPr="00647188">
        <w:t>δηγίας</w:t>
      </w:r>
      <w:r w:rsidR="009761CE" w:rsidRPr="00647188">
        <w:t xml:space="preserve"> 2004/38 </w:t>
      </w:r>
      <w:r w:rsidRPr="00647188">
        <w:t xml:space="preserve"> παρέχει το βασικό δικαίωμα εισόδου και το ά</w:t>
      </w:r>
      <w:r w:rsidR="006E45AB" w:rsidRPr="00647188">
        <w:t xml:space="preserve">. </w:t>
      </w:r>
      <w:r w:rsidRPr="00647188">
        <w:t xml:space="preserve">6 παρέχει, χωρίς άλλες διατυπώσεις, δικαίωμα διαμονής για τουλάχιστον τρεις μήνες, το οποίο δεν έχει λήξει. Αναμφισβήτητα, έως ότου συμβεί αυτό, έχει δικαίωμα διαμονής, </w:t>
      </w:r>
      <w:r w:rsidR="00C54112">
        <w:t xml:space="preserve">έως ότου του τελειώσουν τα χρήματα και επομένως </w:t>
      </w:r>
      <w:r w:rsidRPr="00647188">
        <w:t xml:space="preserve">εξαρτάται από το </w:t>
      </w:r>
      <w:r w:rsidR="006E45AB" w:rsidRPr="00647188">
        <w:t xml:space="preserve">ελληνικό </w:t>
      </w:r>
      <w:r w:rsidRPr="00647188">
        <w:t xml:space="preserve">κράτος.  </w:t>
      </w:r>
    </w:p>
    <w:p w14:paraId="2F046322" w14:textId="609EC87E" w:rsidR="00C8743C" w:rsidRPr="00647188" w:rsidRDefault="00C8743C" w:rsidP="00225042">
      <w:pPr>
        <w:spacing w:line="360" w:lineRule="auto"/>
        <w:contextualSpacing/>
        <w:jc w:val="both"/>
      </w:pPr>
      <w:r w:rsidRPr="00647188">
        <w:t xml:space="preserve">Όταν παρέλθουν οι τρεις μήνες, το δικαίωμά του να </w:t>
      </w:r>
      <w:r w:rsidR="00ED2723">
        <w:t>δι</w:t>
      </w:r>
      <w:r w:rsidRPr="00647188">
        <w:t xml:space="preserve">αμείνει για μεγαλύτερο χρονικό διάστημα καθορίζεται βάσει των ά. 7 και 14 της </w:t>
      </w:r>
      <w:r w:rsidRPr="00647188">
        <w:rPr>
          <w:lang w:val="en-US"/>
        </w:rPr>
        <w:t>O</w:t>
      </w:r>
      <w:proofErr w:type="spellStart"/>
      <w:r w:rsidRPr="00647188">
        <w:t>δηγίας</w:t>
      </w:r>
      <w:proofErr w:type="spellEnd"/>
      <w:r w:rsidRPr="00647188">
        <w:t xml:space="preserve"> 200</w:t>
      </w:r>
      <w:r w:rsidR="00C5069A" w:rsidRPr="00647188">
        <w:t>4</w:t>
      </w:r>
      <w:r w:rsidRPr="00647188">
        <w:t>/38, εφόσον εξακολουθεί να πληροί τα κριτήρια του ά. 7. Δεν είναι ούτε εργαζόμενος</w:t>
      </w:r>
      <w:r w:rsidR="00342F72">
        <w:t>,</w:t>
      </w:r>
      <w:r w:rsidRPr="00647188">
        <w:t xml:space="preserve"> ούτε αυτοαπασχολούμενος και </w:t>
      </w:r>
      <w:r w:rsidR="00C54112">
        <w:t xml:space="preserve">από τα </w:t>
      </w:r>
      <w:r w:rsidRPr="00647188">
        <w:t xml:space="preserve">πραγματικά περιστατικά </w:t>
      </w:r>
      <w:r w:rsidR="00C54112">
        <w:t>δεν συνάγεται</w:t>
      </w:r>
      <w:r w:rsidRPr="00647188">
        <w:t xml:space="preserve"> το συμπέρασμα ότι αναζητά εργασία και μπορεί συνεπώς να επικαλεσθεί το ά. 7 παρ. 3, οπότε καμία από αυτές τις κατηγορίες δεν παρέχει το δικαίωμα </w:t>
      </w:r>
      <w:r w:rsidR="00E86665" w:rsidRPr="00647188">
        <w:t>δι</w:t>
      </w:r>
      <w:r w:rsidRPr="00647188">
        <w:t xml:space="preserve">αμονής. Θα μπορούσε να </w:t>
      </w:r>
      <w:r w:rsidR="00ED2723">
        <w:t>δι</w:t>
      </w:r>
      <w:r w:rsidRPr="00647188">
        <w:t xml:space="preserve">αμείνει εάν διέθετε επαρκείς πόρους Αυτό  δεν ισχύει πλέον. </w:t>
      </w:r>
    </w:p>
    <w:p w14:paraId="3DA925CC" w14:textId="6ACD6D35" w:rsidR="00C8743C" w:rsidRPr="00647188" w:rsidRDefault="00C8743C" w:rsidP="00C8743C">
      <w:pPr>
        <w:spacing w:line="360" w:lineRule="auto"/>
        <w:contextualSpacing/>
        <w:jc w:val="both"/>
      </w:pPr>
      <w:r w:rsidRPr="00647188">
        <w:t xml:space="preserve">Ωστόσο, ενώ ο </w:t>
      </w:r>
      <w:r w:rsidRPr="00647188">
        <w:rPr>
          <w:lang w:val="en-US"/>
        </w:rPr>
        <w:t>Pierre</w:t>
      </w:r>
      <w:r w:rsidRPr="00647188">
        <w:t xml:space="preserve"> εξακολουθεί προς το παρόν να διαμένει νόμιμα </w:t>
      </w:r>
      <w:r w:rsidR="00E86665" w:rsidRPr="00647188">
        <w:t xml:space="preserve">στην Ελλάδα </w:t>
      </w:r>
      <w:r w:rsidRPr="00647188">
        <w:t xml:space="preserve">μέχρι να εξαντληθούν τα χρήματά του, πρέπει να εξετάσουμε το δικαίωμα των συγγενών του. Η </w:t>
      </w:r>
      <w:r w:rsidRPr="00647188">
        <w:rPr>
          <w:lang w:val="en-US"/>
        </w:rPr>
        <w:t>Beatrice</w:t>
      </w:r>
      <w:r w:rsidRPr="00647188">
        <w:t xml:space="preserve"> και ο </w:t>
      </w:r>
      <w:r w:rsidRPr="00647188">
        <w:rPr>
          <w:lang w:val="en-US"/>
        </w:rPr>
        <w:t>Bilge</w:t>
      </w:r>
      <w:r w:rsidRPr="00647188">
        <w:t xml:space="preserve"> δεν είναι ούτε ανιόντα ούτε </w:t>
      </w:r>
      <w:proofErr w:type="spellStart"/>
      <w:r w:rsidRPr="00647188">
        <w:t>κατιόντα</w:t>
      </w:r>
      <w:proofErr w:type="spellEnd"/>
      <w:r w:rsidRPr="00647188">
        <w:t xml:space="preserve"> μέλη της οικογένειας σύμφωνα με το ά</w:t>
      </w:r>
      <w:r w:rsidR="00E86665" w:rsidRPr="00647188">
        <w:t>.</w:t>
      </w:r>
      <w:r w:rsidRPr="00647188">
        <w:t xml:space="preserve"> 2 της </w:t>
      </w:r>
      <w:r w:rsidR="00E86665" w:rsidRPr="00647188">
        <w:t>Ο</w:t>
      </w:r>
      <w:r w:rsidRPr="00647188">
        <w:t>δηγίας, αλλά μ</w:t>
      </w:r>
      <w:r w:rsidR="00DB3897" w:rsidRPr="00647188">
        <w:t>πορούν να θεωρηθούν κατά</w:t>
      </w:r>
      <w:r w:rsidRPr="00647188">
        <w:t xml:space="preserve"> το ά</w:t>
      </w:r>
      <w:r w:rsidR="00DB3897" w:rsidRPr="00647188">
        <w:t xml:space="preserve">. </w:t>
      </w:r>
      <w:r w:rsidRPr="00647188">
        <w:t>3 παρ</w:t>
      </w:r>
      <w:r w:rsidR="00DB3897" w:rsidRPr="00647188">
        <w:t>.</w:t>
      </w:r>
      <w:r w:rsidRPr="00647188">
        <w:t xml:space="preserve"> 2  άλλα μέλη της οικογένειας και εκείνα των οποίων</w:t>
      </w:r>
      <w:r w:rsidR="00DB3897" w:rsidRPr="00647188">
        <w:t xml:space="preserve"> σοβαροί λόγοι υγείας καθιστούν απολύτως αναγκαία την προσωπική φροντίδα του εν λόγω µέλους της οικογένειας από τον πολίτη της Ένωσης, δηλαδή </w:t>
      </w:r>
      <w:r w:rsidRPr="00647188">
        <w:t xml:space="preserve">τον </w:t>
      </w:r>
      <w:r w:rsidRPr="00647188">
        <w:rPr>
          <w:lang w:val="en-US"/>
        </w:rPr>
        <w:t>Pierre</w:t>
      </w:r>
      <w:r w:rsidRPr="00647188">
        <w:t xml:space="preserve">. Επομένως, </w:t>
      </w:r>
      <w:r w:rsidR="00CC731A" w:rsidRPr="00647188">
        <w:t>έχουν</w:t>
      </w:r>
      <w:r w:rsidRPr="00647188">
        <w:t xml:space="preserve"> </w:t>
      </w:r>
      <w:r w:rsidRPr="00647188">
        <w:lastRenderedPageBreak/>
        <w:t xml:space="preserve">δικαίωμα εισόδου και </w:t>
      </w:r>
      <w:r w:rsidR="00DB3897" w:rsidRPr="00647188">
        <w:t>δι</w:t>
      </w:r>
      <w:r w:rsidRPr="00647188">
        <w:t>αμονής βάσει των ά</w:t>
      </w:r>
      <w:r w:rsidR="00DB3897" w:rsidRPr="00647188">
        <w:t>.</w:t>
      </w:r>
      <w:r w:rsidRPr="00647188">
        <w:t xml:space="preserve"> 2, 3, 5 και 6 της </w:t>
      </w:r>
      <w:r w:rsidR="00DB3897" w:rsidRPr="00647188">
        <w:t>Ο</w:t>
      </w:r>
      <w:r w:rsidRPr="00647188">
        <w:t xml:space="preserve">δηγίας για διάστημα έως και τριών μηνών.  </w:t>
      </w:r>
    </w:p>
    <w:p w14:paraId="1D1BE4D1" w14:textId="77777777" w:rsidR="00C8743C" w:rsidRPr="00647188" w:rsidRDefault="00C8743C" w:rsidP="00C8743C">
      <w:pPr>
        <w:spacing w:line="360" w:lineRule="auto"/>
        <w:contextualSpacing/>
        <w:jc w:val="both"/>
      </w:pPr>
    </w:p>
    <w:p w14:paraId="725F242A" w14:textId="58F0343F" w:rsidR="003D391F" w:rsidRPr="00647188" w:rsidRDefault="003D391F" w:rsidP="00225042">
      <w:pPr>
        <w:spacing w:line="360" w:lineRule="auto"/>
        <w:contextualSpacing/>
        <w:jc w:val="both"/>
      </w:pPr>
      <w:r w:rsidRPr="00647188">
        <w:rPr>
          <w:u w:val="single"/>
        </w:rPr>
        <w:t>2</w:t>
      </w:r>
      <w:r w:rsidRPr="00647188">
        <w:rPr>
          <w:u w:val="single"/>
          <w:vertAlign w:val="superscript"/>
        </w:rPr>
        <w:t>ο</w:t>
      </w:r>
      <w:r w:rsidRPr="00647188">
        <w:rPr>
          <w:u w:val="single"/>
        </w:rPr>
        <w:t xml:space="preserve"> ζήτημα</w:t>
      </w:r>
      <w:r w:rsidR="00CC731A" w:rsidRPr="00647188">
        <w:rPr>
          <w:u w:val="single"/>
        </w:rPr>
        <w:t>:</w:t>
      </w:r>
      <w:r w:rsidRPr="00647188">
        <w:t xml:space="preserve"> και οι τρεις βρίσκονται αντιμέτωποι με την απέλαση με την αιτιολογία των αρχών ότι αποτελούν βάρος για το κράτος. Επομένως, </w:t>
      </w:r>
      <w:r w:rsidR="00CC731A" w:rsidRPr="00647188">
        <w:t>θα π</w:t>
      </w:r>
      <w:r w:rsidR="00BB3632" w:rsidRPr="00647188">
        <w:t>ρέπει επίσης να εξεταστεί το ζήτημα του κατά πόσον το κράτος υποδοχής μπορεί πράγματι να τους απελάσει</w:t>
      </w:r>
      <w:r w:rsidR="00C5069A" w:rsidRPr="00647188">
        <w:t xml:space="preserve"> κατά τα ά. 27 και 28 της Οδηγίας 2004/38.</w:t>
      </w:r>
    </w:p>
    <w:p w14:paraId="6006AFBF" w14:textId="76100EDC" w:rsidR="00211009" w:rsidRPr="00647188" w:rsidRDefault="00211009" w:rsidP="00225042">
      <w:pPr>
        <w:spacing w:line="360" w:lineRule="auto"/>
        <w:contextualSpacing/>
        <w:jc w:val="both"/>
      </w:pPr>
      <w:r w:rsidRPr="00647188">
        <w:t xml:space="preserve">Η </w:t>
      </w:r>
      <w:proofErr w:type="spellStart"/>
      <w:r w:rsidRPr="00647188">
        <w:t>Beatrice</w:t>
      </w:r>
      <w:proofErr w:type="spellEnd"/>
      <w:r w:rsidRPr="00647188">
        <w:t xml:space="preserve"> επιδιώκει να φοιτήσει σε </w:t>
      </w:r>
      <w:r w:rsidR="00CC731A" w:rsidRPr="00647188">
        <w:t xml:space="preserve">ειδικό </w:t>
      </w:r>
      <w:r w:rsidRPr="00647188">
        <w:t>σχολείο</w:t>
      </w:r>
      <w:r w:rsidR="00CC731A" w:rsidRPr="00647188">
        <w:t xml:space="preserve">. </w:t>
      </w:r>
      <w:r w:rsidR="001A6E56" w:rsidRPr="00647188">
        <w:t xml:space="preserve">Εφόσον δεν αντλεί δικαίωμα διαμονής από τον </w:t>
      </w:r>
      <w:r w:rsidR="001A6E56" w:rsidRPr="00647188">
        <w:rPr>
          <w:lang w:val="en-US"/>
        </w:rPr>
        <w:t>Pierre</w:t>
      </w:r>
      <w:r w:rsidR="001A6E56" w:rsidRPr="00647188">
        <w:t xml:space="preserve">, </w:t>
      </w:r>
      <w:r w:rsidR="00270D21" w:rsidRPr="00647188">
        <w:t xml:space="preserve">το αίτημά της θα απορριφθεί. Το ίδιο θα συμβεί και με την </w:t>
      </w:r>
      <w:r w:rsidR="00270D21" w:rsidRPr="00647188">
        <w:rPr>
          <w:rFonts w:eastAsiaTheme="minorHAnsi"/>
          <w:lang w:eastAsia="en-US"/>
        </w:rPr>
        <w:t xml:space="preserve">αίτηση για επίδομα κοινωνικής ασφάλισης και επίδομα στέγασης, </w:t>
      </w:r>
      <w:r w:rsidRPr="00647188">
        <w:t>επειδή απαιτείται</w:t>
      </w:r>
      <w:r w:rsidR="00186C12" w:rsidRPr="00647188">
        <w:t xml:space="preserve"> </w:t>
      </w:r>
      <w:r w:rsidR="00C54112">
        <w:t>η</w:t>
      </w:r>
      <w:r w:rsidR="00186C12" w:rsidRPr="00647188">
        <w:t xml:space="preserve"> ύπαρξη</w:t>
      </w:r>
      <w:r w:rsidRPr="00647188">
        <w:t xml:space="preserve"> στενή</w:t>
      </w:r>
      <w:r w:rsidR="00186C12" w:rsidRPr="00647188">
        <w:t>ς</w:t>
      </w:r>
      <w:r w:rsidRPr="00647188">
        <w:t xml:space="preserve"> σχέση</w:t>
      </w:r>
      <w:r w:rsidR="00186C12" w:rsidRPr="00647188">
        <w:t>ς</w:t>
      </w:r>
      <w:r w:rsidRPr="00647188">
        <w:t xml:space="preserve"> ή δεσμ</w:t>
      </w:r>
      <w:r w:rsidR="00186C12" w:rsidRPr="00647188">
        <w:t>ού</w:t>
      </w:r>
      <w:r w:rsidRPr="00647188">
        <w:t xml:space="preserve"> με το κράτος. Φαίνεται ότι δεν υπάρχει τέτοιος δεσμός και, επομένως, φαίνεται ότι κανένας </w:t>
      </w:r>
      <w:r w:rsidR="00C54112">
        <w:t>τους</w:t>
      </w:r>
      <w:r w:rsidRPr="00647188">
        <w:t xml:space="preserve"> δεν έχει δικαίωμα στις παροχές. Τέλος, ο </w:t>
      </w:r>
      <w:proofErr w:type="spellStart"/>
      <w:r w:rsidRPr="00647188">
        <w:t>Pierre</w:t>
      </w:r>
      <w:proofErr w:type="spellEnd"/>
      <w:r w:rsidRPr="00647188">
        <w:t xml:space="preserve"> δεν είναι εργαζόμενος, οπότε το ά</w:t>
      </w:r>
      <w:r w:rsidR="00270D21" w:rsidRPr="00647188">
        <w:t>.</w:t>
      </w:r>
      <w:r w:rsidRPr="00647188">
        <w:t xml:space="preserve"> 7 παρ</w:t>
      </w:r>
      <w:r w:rsidR="00270D21" w:rsidRPr="00647188">
        <w:t>.</w:t>
      </w:r>
      <w:r w:rsidRPr="00647188">
        <w:t xml:space="preserve"> 2 του </w:t>
      </w:r>
      <w:r w:rsidR="00270D21" w:rsidRPr="00647188">
        <w:t>Κ</w:t>
      </w:r>
      <w:r w:rsidRPr="00647188">
        <w:t>ανονισμού</w:t>
      </w:r>
      <w:r w:rsidR="00C5069A" w:rsidRPr="00647188">
        <w:t xml:space="preserve"> 492/2011</w:t>
      </w:r>
      <w:r w:rsidR="00346862">
        <w:t xml:space="preserve">, </w:t>
      </w:r>
      <w:r w:rsidR="0003006E" w:rsidRPr="00647188">
        <w:t>κατά το οποίο ο εργαζόμενος υπήκοος ενός Κράτους-μέλους απολαύει των ιδίων κοινωνικών και φορολογικών πλεονεκτημάτων με τους ημεδαπούς εργαζομένους</w:t>
      </w:r>
      <w:r w:rsidR="001A6E56" w:rsidRPr="00647188">
        <w:t xml:space="preserve"> δ</w:t>
      </w:r>
      <w:r w:rsidRPr="00647188">
        <w:t xml:space="preserve">εν </w:t>
      </w:r>
      <w:r w:rsidR="009310D3">
        <w:t>βρίσκει</w:t>
      </w:r>
      <w:r w:rsidR="001A6E56" w:rsidRPr="00647188">
        <w:t xml:space="preserve"> </w:t>
      </w:r>
      <w:r w:rsidRPr="00647188">
        <w:t>επίσης εφαρμο</w:t>
      </w:r>
      <w:r w:rsidR="001A6E56" w:rsidRPr="00647188">
        <w:t>γή</w:t>
      </w:r>
      <w:r w:rsidRPr="00647188">
        <w:t xml:space="preserve">. </w:t>
      </w:r>
    </w:p>
    <w:p w14:paraId="5D2476E8" w14:textId="19308901" w:rsidR="001B3EE7" w:rsidRPr="00647188" w:rsidRDefault="001B3EE7" w:rsidP="001B3EE7">
      <w:pPr>
        <w:spacing w:line="360" w:lineRule="auto"/>
        <w:contextualSpacing/>
        <w:jc w:val="both"/>
      </w:pPr>
      <w:r w:rsidRPr="00647188">
        <w:t xml:space="preserve">Το ά. 30 παρ. 3 της Οδηγίας 2004/38 προβλέπει ότι, ακόμη και σε περίπτωση έκδοσης απόφασης  απέλασης, η </w:t>
      </w:r>
      <w:proofErr w:type="spellStart"/>
      <w:r w:rsidRPr="00647188">
        <w:t>τασσόµενη</w:t>
      </w:r>
      <w:proofErr w:type="spellEnd"/>
      <w:r w:rsidRPr="00647188">
        <w:t xml:space="preserve"> </w:t>
      </w:r>
      <w:proofErr w:type="spellStart"/>
      <w:r w:rsidRPr="00647188">
        <w:t>προθεσµία</w:t>
      </w:r>
      <w:proofErr w:type="spellEnd"/>
      <w:r w:rsidRPr="00647188">
        <w:t xml:space="preserve"> για την εγκατάλειψη της επικράτειας δεν µ</w:t>
      </w:r>
      <w:proofErr w:type="spellStart"/>
      <w:r w:rsidRPr="00647188">
        <w:t>πορεί</w:t>
      </w:r>
      <w:proofErr w:type="spellEnd"/>
      <w:r w:rsidRPr="00647188">
        <w:t xml:space="preserve"> να είναι µ</w:t>
      </w:r>
      <w:proofErr w:type="spellStart"/>
      <w:r w:rsidRPr="00647188">
        <w:t>ικρότερη</w:t>
      </w:r>
      <w:proofErr w:type="spellEnd"/>
      <w:r w:rsidRPr="00647188">
        <w:t xml:space="preserve"> του ενός µ</w:t>
      </w:r>
      <w:proofErr w:type="spellStart"/>
      <w:r w:rsidRPr="00647188">
        <w:t>ηνός</w:t>
      </w:r>
      <w:proofErr w:type="spellEnd"/>
      <w:r w:rsidRPr="00647188">
        <w:t xml:space="preserve"> από την </w:t>
      </w:r>
      <w:proofErr w:type="spellStart"/>
      <w:r w:rsidRPr="00647188">
        <w:t>ηµεροµηνία</w:t>
      </w:r>
      <w:proofErr w:type="spellEnd"/>
      <w:r w:rsidRPr="00647188">
        <w:t xml:space="preserve"> της κοινοποίησης. Επομένως, και οι τρεις έχουν στη διάθεσή τους τουλάχιστον ένα μήνα προτού τους ζητηθεί να εγκαταλείψουν το κράτος υποδοχής. Αυτή η προστασία δυνάμει του ά</w:t>
      </w:r>
      <w:r w:rsidR="00C5069A" w:rsidRPr="00647188">
        <w:t>.</w:t>
      </w:r>
      <w:r w:rsidRPr="00647188">
        <w:t xml:space="preserve"> 27</w:t>
      </w:r>
      <w:r w:rsidR="00C5069A" w:rsidRPr="00647188">
        <w:t xml:space="preserve"> της Οδηγίας 2004/38</w:t>
      </w:r>
      <w:r w:rsidRPr="00647188">
        <w:t xml:space="preserve"> ισχύει επίσης για την </w:t>
      </w:r>
      <w:proofErr w:type="spellStart"/>
      <w:r w:rsidRPr="00647188">
        <w:t>Βilge</w:t>
      </w:r>
      <w:proofErr w:type="spellEnd"/>
      <w:r w:rsidRPr="00647188">
        <w:t>, την Τούρκο υπήκοο</w:t>
      </w:r>
      <w:r w:rsidR="00536A8B" w:rsidRPr="00647188">
        <w:t xml:space="preserve">. </w:t>
      </w:r>
      <w:r w:rsidRPr="00647188">
        <w:t xml:space="preserve"> </w:t>
      </w:r>
    </w:p>
    <w:p w14:paraId="58BD663E" w14:textId="77777777" w:rsidR="00263C06" w:rsidRPr="00647188" w:rsidRDefault="00263C06" w:rsidP="00263C06">
      <w:pPr>
        <w:spacing w:line="360" w:lineRule="auto"/>
        <w:contextualSpacing/>
        <w:jc w:val="both"/>
      </w:pPr>
      <w:r w:rsidRPr="00647188">
        <w:t>Θα θεωρηθούν βάρος για το ελληνικό κράτος το οποίο είναι αδικαιολόγητο. Επομένως, η Ελλάδα μπορεί να τους απελάσει.</w:t>
      </w:r>
    </w:p>
    <w:p w14:paraId="06CE1BE7" w14:textId="77777777" w:rsidR="00211009" w:rsidRPr="00647188" w:rsidRDefault="00211009" w:rsidP="00225042">
      <w:pPr>
        <w:spacing w:line="360" w:lineRule="auto"/>
        <w:contextualSpacing/>
        <w:jc w:val="both"/>
      </w:pPr>
    </w:p>
    <w:p w14:paraId="5A6A87E5" w14:textId="5DC5C4E4" w:rsidR="00186C12" w:rsidRPr="00647188" w:rsidRDefault="00F464B9" w:rsidP="00186C12">
      <w:pPr>
        <w:spacing w:line="360" w:lineRule="auto"/>
        <w:contextualSpacing/>
        <w:jc w:val="both"/>
        <w:rPr>
          <w:rFonts w:eastAsiaTheme="minorHAnsi"/>
          <w:lang w:eastAsia="en-US"/>
        </w:rPr>
      </w:pPr>
      <w:r w:rsidRPr="00647188">
        <w:rPr>
          <w:b/>
          <w:bCs/>
        </w:rPr>
        <w:t>2.</w:t>
      </w:r>
      <w:r w:rsidRPr="00647188">
        <w:t xml:space="preserve"> </w:t>
      </w:r>
      <w:r w:rsidR="008A64C4" w:rsidRPr="00647188">
        <w:rPr>
          <w:rFonts w:eastAsiaTheme="minorHAnsi"/>
          <w:lang w:val="en-US" w:eastAsia="en-US"/>
        </w:rPr>
        <w:t>H</w:t>
      </w:r>
      <w:r w:rsidR="008A64C4" w:rsidRPr="00647188">
        <w:rPr>
          <w:rFonts w:eastAsiaTheme="minorHAnsi"/>
          <w:lang w:eastAsia="en-US"/>
        </w:rPr>
        <w:t xml:space="preserve"> παραπάνω απάντηση δεν θα ήταν </w:t>
      </w:r>
      <w:r w:rsidRPr="00647188">
        <w:rPr>
          <w:rFonts w:eastAsiaTheme="minorHAnsi"/>
          <w:lang w:eastAsia="en-US"/>
        </w:rPr>
        <w:t xml:space="preserve">διαφορετική αν ο </w:t>
      </w:r>
      <w:r w:rsidRPr="00647188">
        <w:rPr>
          <w:rFonts w:eastAsiaTheme="minorHAnsi"/>
          <w:lang w:val="en-US" w:eastAsia="en-US"/>
        </w:rPr>
        <w:t>Pierre</w:t>
      </w:r>
      <w:r w:rsidRPr="00647188">
        <w:rPr>
          <w:rFonts w:eastAsiaTheme="minorHAnsi"/>
          <w:lang w:eastAsia="en-US"/>
        </w:rPr>
        <w:t xml:space="preserve"> ισχυριζόταν ότι δικαιούνταν να </w:t>
      </w:r>
      <w:r w:rsidR="00ED2723">
        <w:rPr>
          <w:rFonts w:eastAsiaTheme="minorHAnsi"/>
          <w:lang w:eastAsia="en-US"/>
        </w:rPr>
        <w:t>δια</w:t>
      </w:r>
      <w:r w:rsidRPr="00647188">
        <w:rPr>
          <w:rFonts w:eastAsiaTheme="minorHAnsi"/>
          <w:lang w:eastAsia="en-US"/>
        </w:rPr>
        <w:t>μείνει στην Ελλάδα λόγω των υπηρεσιών, των οποίων ήταν αποδέκτης σε τακτή χρονική βάση στην Ελλάδα, ως αποτέλεσμα της εκτεταμένης καθημερινής επικοινωνίας του με τηλεφωνικές γραμμές ψυχολογικής υποστήριξης</w:t>
      </w:r>
      <w:r w:rsidR="008A64C4" w:rsidRPr="00647188">
        <w:rPr>
          <w:rFonts w:eastAsiaTheme="minorHAnsi"/>
          <w:lang w:eastAsia="en-US"/>
        </w:rPr>
        <w:t xml:space="preserve">. Ο λόγος είναι ότι </w:t>
      </w:r>
      <w:r w:rsidR="00186C12" w:rsidRPr="00647188">
        <w:rPr>
          <w:rFonts w:eastAsiaTheme="minorHAnsi"/>
          <w:lang w:eastAsia="en-US"/>
        </w:rPr>
        <w:t xml:space="preserve">η επίκληση των </w:t>
      </w:r>
      <w:proofErr w:type="spellStart"/>
      <w:r w:rsidR="00186C12" w:rsidRPr="00647188">
        <w:rPr>
          <w:rFonts w:eastAsiaTheme="minorHAnsi"/>
          <w:lang w:eastAsia="en-US"/>
        </w:rPr>
        <w:t>ενωσιακών</w:t>
      </w:r>
      <w:proofErr w:type="spellEnd"/>
      <w:r w:rsidR="00186C12" w:rsidRPr="00647188">
        <w:rPr>
          <w:rFonts w:eastAsiaTheme="minorHAnsi"/>
          <w:lang w:eastAsia="en-US"/>
        </w:rPr>
        <w:t xml:space="preserve"> διατάξεων περί ελεύθερης κυκλοφορίας προσώπων και παροχής υπηρεσιών είναι δυνατή μόνον σε περιπτώσεις που εμφανίζουν στοιχείο </w:t>
      </w:r>
      <w:proofErr w:type="spellStart"/>
      <w:r w:rsidR="00186C12" w:rsidRPr="00647188">
        <w:rPr>
          <w:rFonts w:eastAsiaTheme="minorHAnsi"/>
          <w:lang w:eastAsia="en-US"/>
        </w:rPr>
        <w:t>διασυνοριακότητας</w:t>
      </w:r>
      <w:proofErr w:type="spellEnd"/>
      <w:r w:rsidR="00186C12" w:rsidRPr="00647188">
        <w:rPr>
          <w:rFonts w:eastAsiaTheme="minorHAnsi"/>
          <w:lang w:eastAsia="en-US"/>
        </w:rPr>
        <w:t xml:space="preserve">. </w:t>
      </w:r>
      <w:r w:rsidR="001B3EE7" w:rsidRPr="00647188">
        <w:rPr>
          <w:rFonts w:eastAsiaTheme="minorHAnsi"/>
          <w:lang w:eastAsia="en-US"/>
        </w:rPr>
        <w:t xml:space="preserve">Αυτό δεν ισχύει εν προκειμένω, αφού ο </w:t>
      </w:r>
      <w:r w:rsidR="001B3EE7" w:rsidRPr="00647188">
        <w:rPr>
          <w:rFonts w:eastAsiaTheme="minorHAnsi"/>
          <w:lang w:val="en-US" w:eastAsia="en-US"/>
        </w:rPr>
        <w:t>Pierre</w:t>
      </w:r>
      <w:r w:rsidR="001B3EE7" w:rsidRPr="00647188">
        <w:t xml:space="preserve"> δεν έχει ασκήσει ποτέ το δικαίωμα ελεύθερης κυκλοφορίας </w:t>
      </w:r>
      <w:r w:rsidR="009310D3">
        <w:t xml:space="preserve">ως εργαζόμενος </w:t>
      </w:r>
      <w:r w:rsidR="001B3EE7" w:rsidRPr="00647188">
        <w:t>στην Ένωση.</w:t>
      </w:r>
    </w:p>
    <w:p w14:paraId="43EC3E7F" w14:textId="77777777" w:rsidR="00186C12" w:rsidRPr="00647188" w:rsidRDefault="00186C12" w:rsidP="00186C12">
      <w:pPr>
        <w:spacing w:line="360" w:lineRule="auto"/>
        <w:contextualSpacing/>
        <w:jc w:val="both"/>
        <w:rPr>
          <w:rFonts w:eastAsiaTheme="minorHAnsi"/>
          <w:lang w:eastAsia="en-US"/>
        </w:rPr>
      </w:pPr>
    </w:p>
    <w:sectPr w:rsidR="00186C12" w:rsidRPr="006471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697E"/>
    <w:multiLevelType w:val="hybridMultilevel"/>
    <w:tmpl w:val="9A063FDE"/>
    <w:lvl w:ilvl="0" w:tplc="8580E1D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48BB5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9AC50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5A7F0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FA7C9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B4492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E6F7C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54D16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D6291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C5"/>
    <w:rsid w:val="0001120A"/>
    <w:rsid w:val="0003006E"/>
    <w:rsid w:val="00033369"/>
    <w:rsid w:val="000561C3"/>
    <w:rsid w:val="000564B1"/>
    <w:rsid w:val="000975E5"/>
    <w:rsid w:val="000F76E6"/>
    <w:rsid w:val="00103497"/>
    <w:rsid w:val="001169A4"/>
    <w:rsid w:val="00147EAC"/>
    <w:rsid w:val="00167285"/>
    <w:rsid w:val="001728BD"/>
    <w:rsid w:val="00186C12"/>
    <w:rsid w:val="001A6E56"/>
    <w:rsid w:val="001B3EE7"/>
    <w:rsid w:val="00211009"/>
    <w:rsid w:val="00225042"/>
    <w:rsid w:val="00245BFB"/>
    <w:rsid w:val="00263C06"/>
    <w:rsid w:val="00270D21"/>
    <w:rsid w:val="002F0036"/>
    <w:rsid w:val="002F392B"/>
    <w:rsid w:val="002F4907"/>
    <w:rsid w:val="0030544F"/>
    <w:rsid w:val="00321AF2"/>
    <w:rsid w:val="00334ACB"/>
    <w:rsid w:val="00342F72"/>
    <w:rsid w:val="00346862"/>
    <w:rsid w:val="00371C70"/>
    <w:rsid w:val="003D2FDC"/>
    <w:rsid w:val="003D391F"/>
    <w:rsid w:val="003F2820"/>
    <w:rsid w:val="004146DA"/>
    <w:rsid w:val="00431B0B"/>
    <w:rsid w:val="004464E5"/>
    <w:rsid w:val="004A6B45"/>
    <w:rsid w:val="004E7940"/>
    <w:rsid w:val="004F14A5"/>
    <w:rsid w:val="00536A8B"/>
    <w:rsid w:val="00580FB4"/>
    <w:rsid w:val="005C5BC5"/>
    <w:rsid w:val="00605928"/>
    <w:rsid w:val="0060732C"/>
    <w:rsid w:val="00624421"/>
    <w:rsid w:val="00624D66"/>
    <w:rsid w:val="00647188"/>
    <w:rsid w:val="00656B4D"/>
    <w:rsid w:val="00692FBD"/>
    <w:rsid w:val="006A051A"/>
    <w:rsid w:val="006B1C54"/>
    <w:rsid w:val="006C6C86"/>
    <w:rsid w:val="006C798A"/>
    <w:rsid w:val="006E32FF"/>
    <w:rsid w:val="006E45AB"/>
    <w:rsid w:val="007300ED"/>
    <w:rsid w:val="00751A55"/>
    <w:rsid w:val="00780151"/>
    <w:rsid w:val="008049AB"/>
    <w:rsid w:val="00805766"/>
    <w:rsid w:val="00811116"/>
    <w:rsid w:val="00816E4B"/>
    <w:rsid w:val="00851CE0"/>
    <w:rsid w:val="00877B1E"/>
    <w:rsid w:val="008916B3"/>
    <w:rsid w:val="008A64C4"/>
    <w:rsid w:val="008C383A"/>
    <w:rsid w:val="00911B0C"/>
    <w:rsid w:val="009310D3"/>
    <w:rsid w:val="009761CE"/>
    <w:rsid w:val="009827AA"/>
    <w:rsid w:val="009F582C"/>
    <w:rsid w:val="00A14069"/>
    <w:rsid w:val="00A35C2C"/>
    <w:rsid w:val="00A408F7"/>
    <w:rsid w:val="00AB1651"/>
    <w:rsid w:val="00AD03DB"/>
    <w:rsid w:val="00B065B7"/>
    <w:rsid w:val="00B06EE0"/>
    <w:rsid w:val="00B8662D"/>
    <w:rsid w:val="00B95903"/>
    <w:rsid w:val="00BA0D53"/>
    <w:rsid w:val="00BB3632"/>
    <w:rsid w:val="00BD4FB5"/>
    <w:rsid w:val="00C5069A"/>
    <w:rsid w:val="00C54112"/>
    <w:rsid w:val="00C8743C"/>
    <w:rsid w:val="00CA023D"/>
    <w:rsid w:val="00CB6107"/>
    <w:rsid w:val="00CC731A"/>
    <w:rsid w:val="00CD69B4"/>
    <w:rsid w:val="00CE611E"/>
    <w:rsid w:val="00D23B57"/>
    <w:rsid w:val="00D43E18"/>
    <w:rsid w:val="00D625B6"/>
    <w:rsid w:val="00D85394"/>
    <w:rsid w:val="00DB3897"/>
    <w:rsid w:val="00DC50C6"/>
    <w:rsid w:val="00E33A5C"/>
    <w:rsid w:val="00E57E4E"/>
    <w:rsid w:val="00E86665"/>
    <w:rsid w:val="00EC3331"/>
    <w:rsid w:val="00ED2723"/>
    <w:rsid w:val="00EE5758"/>
    <w:rsid w:val="00F0199B"/>
    <w:rsid w:val="00F23B9A"/>
    <w:rsid w:val="00F464B9"/>
    <w:rsid w:val="00FC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2260"/>
  <w15:chartTrackingRefBased/>
  <w15:docId w15:val="{9AD7702F-F2C1-4DF1-8563-AD3E2E44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B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C5BC5"/>
  </w:style>
  <w:style w:type="paragraph" w:styleId="Web">
    <w:name w:val="Normal (Web)"/>
    <w:basedOn w:val="a"/>
    <w:uiPriority w:val="99"/>
    <w:rsid w:val="005C5BC5"/>
    <w:pPr>
      <w:spacing w:before="100" w:beforeAutospacing="1" w:after="100" w:afterAutospacing="1"/>
    </w:pPr>
    <w:rPr>
      <w:rFonts w:eastAsia="Times New Roman"/>
      <w:lang w:eastAsia="el-GR"/>
    </w:rPr>
  </w:style>
  <w:style w:type="paragraph" w:styleId="a3">
    <w:name w:val="List Paragraph"/>
    <w:basedOn w:val="a"/>
    <w:uiPriority w:val="34"/>
    <w:qFormat/>
    <w:rsid w:val="00692FBD"/>
    <w:pPr>
      <w:ind w:left="720"/>
      <w:contextualSpacing/>
    </w:pPr>
    <w:rPr>
      <w:rFonts w:eastAsia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6</Pages>
  <Words>1699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 Tzortzi</dc:creator>
  <cp:keywords/>
  <dc:description/>
  <cp:lastModifiedBy>User</cp:lastModifiedBy>
  <cp:revision>91</cp:revision>
  <dcterms:created xsi:type="dcterms:W3CDTF">2022-09-11T14:43:00Z</dcterms:created>
  <dcterms:modified xsi:type="dcterms:W3CDTF">2022-09-19T07:22:00Z</dcterms:modified>
</cp:coreProperties>
</file>