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ED" w:rsidRPr="00031E83" w:rsidRDefault="00D67AED" w:rsidP="00333587">
      <w:pPr>
        <w:spacing w:line="360" w:lineRule="auto"/>
        <w:jc w:val="center"/>
        <w:rPr>
          <w:rFonts w:ascii="Calibri" w:hAnsi="Calibri"/>
          <w:b/>
          <w:color w:val="C00000"/>
          <w:sz w:val="28"/>
          <w:szCs w:val="28"/>
        </w:rPr>
      </w:pPr>
      <w:bookmarkStart w:id="0" w:name="_GoBack"/>
      <w:bookmarkEnd w:id="0"/>
      <w:r w:rsidRPr="00031E83">
        <w:rPr>
          <w:rFonts w:ascii="Calibri" w:hAnsi="Calibri"/>
          <w:b/>
          <w:color w:val="C00000"/>
          <w:sz w:val="28"/>
          <w:szCs w:val="28"/>
        </w:rPr>
        <w:t>ΔΙΚΑΙΟ ΤΗΣ ΕΥΡΩΠΑ</w:t>
      </w:r>
      <w:r w:rsidR="00031E83" w:rsidRPr="00031E83">
        <w:rPr>
          <w:rFonts w:ascii="Calibri" w:hAnsi="Calibri"/>
          <w:b/>
          <w:color w:val="C00000"/>
          <w:sz w:val="28"/>
          <w:szCs w:val="28"/>
        </w:rPr>
        <w:t>Ϊ</w:t>
      </w:r>
      <w:r w:rsidRPr="00031E83">
        <w:rPr>
          <w:rFonts w:ascii="Calibri" w:hAnsi="Calibri"/>
          <w:b/>
          <w:color w:val="C00000"/>
          <w:sz w:val="28"/>
          <w:szCs w:val="28"/>
        </w:rPr>
        <w:t xml:space="preserve">ΚΗΣ </w:t>
      </w:r>
      <w:r w:rsidR="003D7C28" w:rsidRPr="00031E83">
        <w:rPr>
          <w:rFonts w:ascii="Calibri" w:hAnsi="Calibri"/>
          <w:b/>
          <w:color w:val="C00000"/>
          <w:sz w:val="28"/>
          <w:szCs w:val="28"/>
        </w:rPr>
        <w:t>ΕΝΩΣΗΣ Ι</w:t>
      </w:r>
    </w:p>
    <w:p w:rsidR="003D7C28" w:rsidRPr="00031E83" w:rsidRDefault="003D7C28" w:rsidP="00333587">
      <w:pPr>
        <w:spacing w:line="360" w:lineRule="auto"/>
        <w:jc w:val="center"/>
        <w:rPr>
          <w:rFonts w:ascii="Calibri" w:hAnsi="Calibri"/>
          <w:b/>
        </w:rPr>
      </w:pPr>
    </w:p>
    <w:p w:rsidR="00D67AED" w:rsidRPr="00031E83" w:rsidRDefault="00D67AED" w:rsidP="00333587">
      <w:pPr>
        <w:spacing w:line="360" w:lineRule="auto"/>
        <w:jc w:val="center"/>
        <w:rPr>
          <w:rFonts w:ascii="Calibri" w:hAnsi="Calibri"/>
          <w:b/>
        </w:rPr>
      </w:pPr>
      <w:r w:rsidRPr="00031E83">
        <w:rPr>
          <w:rFonts w:ascii="Calibri" w:hAnsi="Calibri"/>
          <w:b/>
        </w:rPr>
        <w:t>ΕΝΔΕΙΚΤΙΚΕΣ ΑΠΑΝΤΗΣΕΙΣ ΣΤΑ ΘΕΜΑΤΑ ΤΩΝ ΕΞΕΤΑΣΕΩΝ</w:t>
      </w:r>
      <w:r w:rsidR="003D7C28" w:rsidRPr="00031E83">
        <w:rPr>
          <w:rFonts w:ascii="Calibri" w:hAnsi="Calibri"/>
          <w:b/>
        </w:rPr>
        <w:t xml:space="preserve"> ΙΟΥΝΙΟΥ 2023</w:t>
      </w:r>
    </w:p>
    <w:p w:rsidR="00D67AED" w:rsidRDefault="00D67AED" w:rsidP="00333587">
      <w:pPr>
        <w:spacing w:line="360" w:lineRule="auto"/>
        <w:jc w:val="center"/>
        <w:rPr>
          <w:rFonts w:ascii="Calibri" w:hAnsi="Calibri"/>
          <w:b/>
        </w:rPr>
      </w:pPr>
    </w:p>
    <w:p w:rsidR="00333587" w:rsidRPr="00553C7B" w:rsidRDefault="00333587" w:rsidP="00333587">
      <w:pPr>
        <w:spacing w:line="360" w:lineRule="auto"/>
        <w:jc w:val="center"/>
        <w:rPr>
          <w:rFonts w:ascii="Calibri" w:hAnsi="Calibri"/>
          <w:b/>
        </w:rPr>
      </w:pPr>
      <w:r>
        <w:rPr>
          <w:rFonts w:ascii="Calibri" w:hAnsi="Calibri"/>
          <w:b/>
        </w:rPr>
        <w:t>ΘΕΜΑ Ι</w:t>
      </w:r>
    </w:p>
    <w:p w:rsidR="00333587" w:rsidRDefault="00333587" w:rsidP="00C954C2">
      <w:pPr>
        <w:spacing w:line="360" w:lineRule="auto"/>
        <w:jc w:val="both"/>
        <w:rPr>
          <w:rFonts w:ascii="Calibri" w:hAnsi="Calibri"/>
        </w:rPr>
      </w:pPr>
    </w:p>
    <w:p w:rsidR="00C954C2" w:rsidRDefault="00333587" w:rsidP="00C954C2">
      <w:pPr>
        <w:spacing w:line="360" w:lineRule="auto"/>
        <w:jc w:val="both"/>
        <w:rPr>
          <w:rFonts w:ascii="Calibri" w:hAnsi="Calibri"/>
          <w:color w:val="444444"/>
          <w:shd w:val="clear" w:color="auto" w:fill="FFFFFF"/>
        </w:rPr>
      </w:pPr>
      <w:r>
        <w:rPr>
          <w:rFonts w:ascii="Calibri" w:hAnsi="Calibri"/>
        </w:rPr>
        <w:t xml:space="preserve">1.   </w:t>
      </w:r>
      <w:r w:rsidR="00C954C2">
        <w:rPr>
          <w:rFonts w:ascii="Calibri" w:hAnsi="Calibri"/>
        </w:rPr>
        <w:t xml:space="preserve">Κατά το άρθρο 263 εδάφιο δ ΣΛΕΕ που ορίζει ότι </w:t>
      </w:r>
      <w:r w:rsidR="00C954C2" w:rsidRPr="0009292A">
        <w:rPr>
          <w:rFonts w:ascii="Calibri" w:hAnsi="Calibri"/>
          <w:i/>
        </w:rPr>
        <w:t>«</w:t>
      </w:r>
      <w:r w:rsidR="00C954C2" w:rsidRPr="0009292A">
        <w:rPr>
          <w:rFonts w:ascii="Calibri" w:hAnsi="Calibri"/>
          <w:i/>
          <w:color w:val="444444"/>
          <w:shd w:val="clear" w:color="auto" w:fill="FFFFFF"/>
        </w:rPr>
        <w:t>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w:t>
      </w:r>
      <w:r w:rsidR="00C954C2">
        <w:rPr>
          <w:rFonts w:ascii="Calibri" w:hAnsi="Calibri"/>
          <w:i/>
          <w:color w:val="444444"/>
          <w:shd w:val="clear" w:color="auto" w:fill="FFFFFF"/>
        </w:rPr>
        <w:t xml:space="preserve">. </w:t>
      </w:r>
      <w:r w:rsidR="00C954C2">
        <w:rPr>
          <w:rFonts w:ascii="Calibri" w:hAnsi="Calibri"/>
          <w:color w:val="444444"/>
          <w:shd w:val="clear" w:color="auto" w:fill="FFFFFF"/>
        </w:rPr>
        <w:t>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w:t>
      </w:r>
      <w:r w:rsidR="00C954C2" w:rsidRPr="000D7FA8">
        <w:rPr>
          <w:rFonts w:ascii="Calibri" w:hAnsi="Calibri"/>
          <w:color w:val="444444"/>
          <w:shd w:val="clear" w:color="auto" w:fill="FFFFFF"/>
        </w:rPr>
        <w:t xml:space="preserve">: </w:t>
      </w:r>
    </w:p>
    <w:p w:rsidR="00C954C2" w:rsidRDefault="00C954C2" w:rsidP="00C954C2">
      <w:pPr>
        <w:spacing w:line="360" w:lineRule="auto"/>
        <w:jc w:val="both"/>
        <w:rPr>
          <w:rFonts w:ascii="Calibri" w:hAnsi="Calibri"/>
          <w:color w:val="444444"/>
          <w:shd w:val="clear" w:color="auto" w:fill="FFFFFF"/>
        </w:rPr>
      </w:pPr>
      <w:r w:rsidRPr="000D7FA8">
        <w:rPr>
          <w:rFonts w:ascii="Calibri" w:hAnsi="Calibri"/>
          <w:color w:val="444444"/>
          <w:shd w:val="clear" w:color="auto" w:fill="FFFFFF"/>
        </w:rPr>
        <w:t>(</w:t>
      </w:r>
      <w:r>
        <w:rPr>
          <w:rFonts w:ascii="Calibri" w:hAnsi="Calibri"/>
          <w:color w:val="444444"/>
          <w:shd w:val="clear" w:color="auto" w:fill="FFFFFF"/>
        </w:rPr>
        <w:t>α</w:t>
      </w:r>
      <w:r w:rsidRPr="000D7FA8">
        <w:rPr>
          <w:rFonts w:ascii="Calibri" w:hAnsi="Calibri"/>
          <w:color w:val="444444"/>
          <w:shd w:val="clear" w:color="auto" w:fill="FFFFFF"/>
        </w:rPr>
        <w:t>)</w:t>
      </w:r>
      <w:r>
        <w:rPr>
          <w:rFonts w:ascii="Calibri" w:hAnsi="Calibri"/>
          <w:color w:val="444444"/>
          <w:shd w:val="clear" w:color="auto" w:fill="FFFFFF"/>
        </w:rPr>
        <w:t xml:space="preserve"> κατά πράξεων των οποίων είναι αποδέκτες, </w:t>
      </w:r>
    </w:p>
    <w:p w:rsidR="00C954C2" w:rsidRDefault="00C954C2" w:rsidP="00C954C2">
      <w:pPr>
        <w:spacing w:line="360" w:lineRule="auto"/>
        <w:jc w:val="both"/>
        <w:rPr>
          <w:rFonts w:ascii="Calibri" w:hAnsi="Calibri"/>
        </w:rPr>
      </w:pPr>
      <w:r>
        <w:rPr>
          <w:rFonts w:ascii="Calibri" w:hAnsi="Calibri"/>
          <w:color w:val="444444"/>
          <w:shd w:val="clear" w:color="auto" w:fill="FFFFFF"/>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3E5AE5">
        <w:rPr>
          <w:rFonts w:ascii="Calibri" w:hAnsi="Calibri"/>
          <w:i/>
          <w:color w:val="444444"/>
          <w:shd w:val="clear" w:color="auto" w:fill="FFFFFF"/>
        </w:rPr>
        <w:t>«άμεσα»</w:t>
      </w:r>
      <w:r>
        <w:rPr>
          <w:rFonts w:ascii="Calibri" w:hAnsi="Calibr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r>
        <w:rPr>
          <w:rFonts w:ascii="Calibri" w:hAnsi="Calibri"/>
          <w:color w:val="444444"/>
          <w:shd w:val="clear" w:color="auto" w:fill="FFFFFF"/>
          <w:lang w:val="en-US"/>
        </w:rPr>
        <w:t>Toepfer</w:t>
      </w:r>
      <w:r w:rsidRPr="003E5AE5">
        <w:rPr>
          <w:rFonts w:ascii="Calibri" w:hAnsi="Calibri"/>
          <w:color w:val="444444"/>
          <w:shd w:val="clear" w:color="auto" w:fill="FFFFFF"/>
        </w:rPr>
        <w:t xml:space="preserve"> </w:t>
      </w:r>
      <w:r>
        <w:rPr>
          <w:rFonts w:ascii="Calibri" w:hAnsi="Calibri"/>
          <w:color w:val="444444"/>
          <w:shd w:val="clear" w:color="auto" w:fill="FFFFFF"/>
          <w:lang w:val="en-US"/>
        </w:rPr>
        <w:t>I</w:t>
      </w:r>
      <w:r w:rsidRPr="003E5AE5">
        <w:rPr>
          <w:rFonts w:ascii="Calibri" w:hAnsi="Calibri"/>
          <w:color w:val="444444"/>
          <w:shd w:val="clear" w:color="auto" w:fill="FFFFFF"/>
        </w:rPr>
        <w:t xml:space="preserve">) </w:t>
      </w:r>
      <w:r>
        <w:rPr>
          <w:rFonts w:ascii="Calibri" w:hAnsi="Calibri"/>
          <w:color w:val="444444"/>
          <w:shd w:val="clear" w:color="auto" w:fill="FFFFFF"/>
        </w:rPr>
        <w:t xml:space="preserve">ενώ μια πράξη αφορά τον ιδιώτη </w:t>
      </w:r>
      <w:r w:rsidRPr="003E5AE5">
        <w:rPr>
          <w:rFonts w:ascii="Calibri" w:hAnsi="Calibri"/>
          <w:i/>
          <w:color w:val="444444"/>
          <w:shd w:val="clear" w:color="auto" w:fill="FFFFFF"/>
        </w:rPr>
        <w:t>«</w:t>
      </w:r>
      <w:r>
        <w:rPr>
          <w:rFonts w:ascii="Calibri" w:hAnsi="Calibri"/>
          <w:i/>
          <w:color w:val="444444"/>
          <w:shd w:val="clear" w:color="auto" w:fill="FFFFFF"/>
        </w:rPr>
        <w:t>ατομικά</w:t>
      </w:r>
      <w:r w:rsidRPr="00440CAF">
        <w:rPr>
          <w:rFonts w:ascii="Calibri" w:hAnsi="Calibri"/>
          <w:i/>
          <w:color w:val="444444"/>
          <w:shd w:val="clear" w:color="auto" w:fill="FFFFFF"/>
        </w:rPr>
        <w:t>»</w:t>
      </w:r>
      <w:r w:rsidRPr="00440CAF">
        <w:rPr>
          <w:rFonts w:ascii="Calibri" w:hAnsi="Calibri"/>
          <w:color w:val="444444"/>
          <w:shd w:val="clear" w:color="auto" w:fill="FFFFFF"/>
        </w:rPr>
        <w:t xml:space="preserve"> </w:t>
      </w:r>
      <w:r w:rsidRPr="00440CAF">
        <w:rPr>
          <w:rFonts w:ascii="Calibri" w:hAnsi="Calibri"/>
          <w:i/>
        </w:rPr>
        <w:t xml:space="preserve"> </w:t>
      </w:r>
      <w:r w:rsidRPr="00440CAF">
        <w:rPr>
          <w:rFonts w:ascii="Calibri" w:hAnsi="Calibri"/>
        </w:rPr>
        <w:t>παρά μόνον αν τ</w:t>
      </w:r>
      <w:r>
        <w:rPr>
          <w:rFonts w:ascii="Calibri" w:hAnsi="Calibri"/>
        </w:rPr>
        <w:t>ον</w:t>
      </w:r>
      <w:r w:rsidRPr="00440CAF">
        <w:rPr>
          <w:rFonts w:ascii="Calibri" w:hAnsi="Calibri"/>
        </w:rPr>
        <w:t xml:space="preserve"> </w:t>
      </w:r>
      <w:r w:rsidRPr="00440CAF">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Pr>
          <w:rFonts w:ascii="Calibri" w:hAnsi="Calibri"/>
        </w:rPr>
        <w:t xml:space="preserve"> (ΔΕΚ, 25/62 </w:t>
      </w:r>
      <w:r>
        <w:rPr>
          <w:rFonts w:ascii="Calibri" w:hAnsi="Calibri"/>
          <w:lang w:val="en-US"/>
        </w:rPr>
        <w:t>Plaumann</w:t>
      </w:r>
      <w:r w:rsidRPr="00440CAF">
        <w:rPr>
          <w:rFonts w:ascii="Calibri" w:hAnsi="Calibri"/>
        </w:rPr>
        <w:t xml:space="preserve">), </w:t>
      </w:r>
    </w:p>
    <w:p w:rsidR="00C954C2" w:rsidRDefault="00C954C2" w:rsidP="00C954C2">
      <w:pPr>
        <w:spacing w:line="360" w:lineRule="auto"/>
        <w:jc w:val="both"/>
        <w:rPr>
          <w:rFonts w:ascii="Calibri" w:hAnsi="Calibri"/>
        </w:rPr>
      </w:pPr>
      <w:r>
        <w:rPr>
          <w:rFonts w:ascii="Calibri" w:hAnsi="Calibri"/>
        </w:rPr>
        <w:t xml:space="preserve">(γ)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Pr="00A57EE6">
        <w:rPr>
          <w:rFonts w:ascii="Calibri" w:hAnsi="Calibri"/>
          <w:i/>
        </w:rPr>
        <w:t>«Κανονιστικές»</w:t>
      </w:r>
      <w:r>
        <w:rPr>
          <w:rFonts w:ascii="Calibri" w:hAnsi="Calibri"/>
        </w:rPr>
        <w:t xml:space="preserve"> πράξεις είναι γενικές πράξεις, που </w:t>
      </w:r>
      <w:r w:rsidRPr="00A57EE6">
        <w:rPr>
          <w:rFonts w:ascii="Calibri" w:hAnsi="Calibri"/>
          <w:i/>
        </w:rPr>
        <w:t xml:space="preserve">«δεν είναι νομοθετικές» </w:t>
      </w:r>
      <w:r>
        <w:rPr>
          <w:rFonts w:ascii="Calibri" w:hAnsi="Calibri"/>
        </w:rPr>
        <w:t>για τις οποίες παραμένει η υποχρέωση απόδειξης άμεσου και ατομικού συνδέσμου (</w:t>
      </w:r>
      <w:r>
        <w:rPr>
          <w:rFonts w:ascii="Calibri" w:hAnsi="Calibri"/>
          <w:lang w:val="en-US"/>
        </w:rPr>
        <w:t>C</w:t>
      </w:r>
      <w:r w:rsidRPr="00B53F00">
        <w:rPr>
          <w:rFonts w:ascii="Calibri" w:hAnsi="Calibri"/>
        </w:rPr>
        <w:t>-583/11</w:t>
      </w:r>
      <w:r>
        <w:rPr>
          <w:rFonts w:ascii="Calibri" w:hAnsi="Calibri"/>
          <w:lang w:val="en-US"/>
        </w:rPr>
        <w:t>P</w:t>
      </w:r>
      <w:r w:rsidRPr="00B53F00">
        <w:rPr>
          <w:rFonts w:ascii="Calibri" w:hAnsi="Calibri"/>
        </w:rPr>
        <w:t xml:space="preserve"> </w:t>
      </w:r>
      <w:r>
        <w:rPr>
          <w:rFonts w:ascii="Calibri" w:hAnsi="Calibri"/>
          <w:lang w:val="en-US"/>
        </w:rPr>
        <w:t>Inuit</w:t>
      </w:r>
      <w:r w:rsidRPr="00B53F00">
        <w:rPr>
          <w:rFonts w:ascii="Calibri" w:hAnsi="Calibri"/>
        </w:rPr>
        <w:t>)</w:t>
      </w:r>
      <w:r>
        <w:rPr>
          <w:rFonts w:ascii="Calibri" w:hAnsi="Calibri"/>
        </w:rPr>
        <w:t xml:space="preserve">. </w:t>
      </w:r>
    </w:p>
    <w:p w:rsidR="00C954C2" w:rsidRPr="00790912" w:rsidRDefault="00C954C2" w:rsidP="00C954C2">
      <w:pPr>
        <w:spacing w:line="360" w:lineRule="auto"/>
        <w:jc w:val="both"/>
        <w:rPr>
          <w:rFonts w:asciiTheme="minorHAnsi" w:hAnsiTheme="minorHAnsi" w:cs="Arial"/>
          <w:i/>
          <w:color w:val="000000"/>
        </w:rPr>
      </w:pPr>
      <w:r>
        <w:rPr>
          <w:rFonts w:ascii="Calibri" w:hAnsi="Calibr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3368CF">
        <w:rPr>
          <w:rFonts w:ascii="Calibri" w:hAnsi="Calibri"/>
          <w:i/>
        </w:rPr>
        <w:t xml:space="preserve">«εννόμου </w:t>
      </w:r>
      <w:r w:rsidRPr="003368CF">
        <w:rPr>
          <w:rFonts w:ascii="Calibri" w:hAnsi="Calibri"/>
          <w:i/>
        </w:rPr>
        <w:lastRenderedPageBreak/>
        <w:t>συμφέροντος»,</w:t>
      </w:r>
      <w:r>
        <w:rPr>
          <w:rFonts w:ascii="Calibri" w:hAnsi="Calibr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E70ECC">
        <w:rPr>
          <w:rFonts w:ascii="Calibri" w:hAnsi="Calibri"/>
          <w:i/>
        </w:rPr>
        <w:t>«ατομικά».</w:t>
      </w:r>
      <w:r>
        <w:rPr>
          <w:rFonts w:ascii="Calibri" w:hAnsi="Calibri"/>
        </w:rPr>
        <w:t xml:space="preserve">  Έτσι, αν η πράξη απευθύνεται ομοιόμορφα σε μια γενική ομάδα προσώπων, που παρουσιάζεται </w:t>
      </w:r>
      <w:r w:rsidRPr="00F15014">
        <w:rPr>
          <w:rFonts w:ascii="Calibri" w:hAnsi="Calibri"/>
          <w:i/>
        </w:rPr>
        <w:t>«ανοικτή»</w:t>
      </w:r>
      <w:r>
        <w:rPr>
          <w:rFonts w:ascii="Calibri" w:hAnsi="Calibr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Pr>
          <w:rFonts w:ascii="Calibri" w:hAnsi="Calibri"/>
          <w:lang w:val="en-US"/>
        </w:rPr>
        <w:t>C</w:t>
      </w:r>
      <w:r w:rsidRPr="009654C5">
        <w:rPr>
          <w:rFonts w:ascii="Calibri" w:hAnsi="Calibri"/>
        </w:rPr>
        <w:t>-50/00</w:t>
      </w:r>
      <w:r>
        <w:rPr>
          <w:rFonts w:ascii="Calibri" w:hAnsi="Calibri"/>
          <w:lang w:val="en-US"/>
        </w:rPr>
        <w:t>P</w:t>
      </w:r>
      <w:r w:rsidRPr="009654C5">
        <w:rPr>
          <w:rFonts w:ascii="Calibri" w:hAnsi="Calibri"/>
        </w:rPr>
        <w:t xml:space="preserve"> </w:t>
      </w:r>
      <w:r>
        <w:rPr>
          <w:rFonts w:ascii="Calibri" w:hAnsi="Calibri"/>
          <w:lang w:val="en-US"/>
        </w:rPr>
        <w:t>UPA</w:t>
      </w:r>
      <w:r w:rsidRPr="009654C5">
        <w:rPr>
          <w:rFonts w:ascii="Calibri" w:hAnsi="Calibri"/>
        </w:rPr>
        <w:t>).</w:t>
      </w:r>
      <w:r>
        <w:rPr>
          <w:rFonts w:ascii="Calibri" w:hAnsi="Calibri"/>
        </w:rPr>
        <w:t xml:space="preserve"> </w:t>
      </w:r>
      <w:r w:rsidRPr="00D918C2">
        <w:rPr>
          <w:rFonts w:ascii="Calibri" w:hAnsi="Calibri"/>
        </w:rPr>
        <w:t xml:space="preserve"> </w:t>
      </w:r>
      <w:r>
        <w:rPr>
          <w:rFonts w:ascii="Calibri" w:hAnsi="Calibri"/>
        </w:rPr>
        <w:t xml:space="preserve">Το Δικαστήριο χαρακτηριστικά τόνισε </w:t>
      </w:r>
      <w:r w:rsidRPr="00D918C2">
        <w:rPr>
          <w:rFonts w:ascii="Calibri" w:hAnsi="Calibri"/>
          <w:i/>
        </w:rPr>
        <w:t>«</w:t>
      </w:r>
      <w:r w:rsidRPr="00790912">
        <w:rPr>
          <w:rFonts w:asciiTheme="minorHAnsi" w:hAnsiTheme="minorHAnsi" w:cs="Arial"/>
          <w:i/>
          <w:color w:val="000000"/>
        </w:rPr>
        <w:t>η Ευρωπαϊκή Κοινότητα είναι μια κοινότητα δικαίου, οι δε πράξεις των θεσμικών οργάνων της υπόκεινται σε έλεγχο για το αν είναι σύμφωνες με τη Συνθήκη και τις γενικές αρχές του δικαίου στις οποίες περιλαμβάνονται και τα θεμελιώδη δικαιώματα.</w:t>
      </w:r>
      <w:r w:rsidRPr="00D918C2">
        <w:rPr>
          <w:rFonts w:asciiTheme="minorHAnsi" w:hAnsiTheme="minorHAnsi" w:cs="Arial"/>
          <w:i/>
          <w:color w:val="000000"/>
        </w:rPr>
        <w:t xml:space="preserve"> </w:t>
      </w:r>
      <w:r w:rsidRPr="00790912">
        <w:rPr>
          <w:rFonts w:asciiTheme="minorHAnsi" w:hAnsiTheme="minorHAnsi" w:cs="Arial"/>
          <w:i/>
          <w:color w:val="000000"/>
        </w:rPr>
        <w:t>Η Συνθήκη, με τα άρθρα της 173 και 184 (νυν άρθρο 241 ΕΚ), αφενός, και με το άρθρο της 177, αφετέρου, καθιέρωσε ένα πλήρες σύστημα ένδικων βοηθημάτων και διαδικασιών για τον έλεγχο της νομιμότητας των πράξεων των κοινοτικών οργάνων, αναθέτοντας τον έλεγχ</w:t>
      </w:r>
      <w:r w:rsidRPr="00D918C2">
        <w:rPr>
          <w:rFonts w:asciiTheme="minorHAnsi" w:hAnsiTheme="minorHAnsi" w:cs="Arial"/>
          <w:i/>
          <w:color w:val="000000"/>
        </w:rPr>
        <w:t>ο αυτόν στον κοινοτικό δικαστή</w:t>
      </w:r>
      <w:r w:rsidRPr="00790912">
        <w:rPr>
          <w:rFonts w:asciiTheme="minorHAnsi" w:hAnsiTheme="minorHAnsi" w:cs="Arial"/>
          <w:i/>
          <w:color w:val="000000"/>
        </w:rPr>
        <w:t>. Στο πλαίσιο του συστήματος αυτού, τα φυσικά ή νομικά πρόσωπα που δεν έχουν τη δυνατότητα, λόγω των προϋποθέσεων του παραδεκτού που θέτει το άρθρο 173 τέταρτο εδάφιο, της Συνθήκης, να προσβάλλουν απευθείας τις κοινοτικές πράξεις κανονιστικού χαρακτήρα, έχουν τη δυνατότητα, αναλόγως της περιπτώσεως, να προβάλλουν την ακυρότητα των πράξεων αυτών είτε, κατά τρόπο παρεμπίπτοντα δυνάμει του άρθρου 184 της Συνθήκης, ενώπιον του κοινοτικού δικαστή, είτε ενώπιον των εθνικών δικαστηρίων και να ζητούν από αυτά, δεδομένου ότι δεν είναι αρμόδια να αναγνωρίζουν την</w:t>
      </w:r>
      <w:r w:rsidRPr="00D918C2">
        <w:rPr>
          <w:rFonts w:asciiTheme="minorHAnsi" w:hAnsiTheme="minorHAnsi" w:cs="Arial"/>
          <w:i/>
          <w:color w:val="000000"/>
        </w:rPr>
        <w:t xml:space="preserve"> ακυρότητα των εν λόγω πράξεων </w:t>
      </w:r>
      <w:r w:rsidRPr="00790912">
        <w:rPr>
          <w:rFonts w:asciiTheme="minorHAnsi" w:hAnsiTheme="minorHAnsi" w:cs="Arial"/>
          <w:i/>
          <w:color w:val="000000"/>
        </w:rPr>
        <w:t>να υποβάλλουν προς τούτο προδικαστικά ερωτήματα στο Δικαστήριο</w:t>
      </w:r>
      <w:r w:rsidRPr="00D918C2">
        <w:rPr>
          <w:rFonts w:asciiTheme="minorHAnsi" w:hAnsiTheme="minorHAnsi" w:cs="Arial"/>
          <w:i/>
          <w:color w:val="000000"/>
        </w:rPr>
        <w:t>»</w:t>
      </w:r>
      <w:r w:rsidRPr="00790912">
        <w:rPr>
          <w:rFonts w:asciiTheme="minorHAnsi" w:hAnsiTheme="minorHAnsi" w:cs="Arial"/>
          <w:i/>
          <w:color w:val="000000"/>
        </w:rPr>
        <w:t>.</w:t>
      </w:r>
    </w:p>
    <w:p w:rsidR="00C954C2" w:rsidRPr="00D918C2" w:rsidRDefault="00C954C2" w:rsidP="00C954C2">
      <w:pPr>
        <w:spacing w:line="360" w:lineRule="auto"/>
        <w:jc w:val="both"/>
        <w:rPr>
          <w:rFonts w:asciiTheme="minorHAnsi" w:hAnsiTheme="minorHAnsi"/>
          <w:i/>
        </w:rPr>
      </w:pPr>
    </w:p>
    <w:p w:rsidR="00C954C2" w:rsidRDefault="00C954C2" w:rsidP="00C954C2">
      <w:pPr>
        <w:spacing w:line="360" w:lineRule="auto"/>
        <w:jc w:val="both"/>
        <w:rPr>
          <w:rFonts w:ascii="Calibri" w:hAnsi="Calibri"/>
        </w:rPr>
      </w:pPr>
      <w:r>
        <w:rPr>
          <w:rFonts w:asciiTheme="minorHAnsi" w:hAnsiTheme="minorHAnsi"/>
        </w:rPr>
        <w:lastRenderedPageBreak/>
        <w:t xml:space="preserve">Κατ’ αυτόν τον τρόπο </w:t>
      </w:r>
      <w:r>
        <w:rPr>
          <w:rFonts w:ascii="Calibri" w:hAnsi="Calibri"/>
        </w:rPr>
        <w:t xml:space="preserve">οι ιδιώτες μπορούν να </w:t>
      </w:r>
      <w:r w:rsidRPr="00E70ECC">
        <w:rPr>
          <w:rFonts w:ascii="Calibri" w:hAnsi="Calibri"/>
          <w:i/>
        </w:rPr>
        <w:t>«παρακάμψουν»</w:t>
      </w:r>
      <w:r>
        <w:rPr>
          <w:rFonts w:ascii="Calibri" w:hAnsi="Calibri"/>
        </w:rPr>
        <w:t xml:space="preserve"> τους ιδιαίτερα περιοριστικούς όρους της προσφυγής ακυρώσεως ιδιαίτερα όταν η γενική </w:t>
      </w:r>
      <w:proofErr w:type="spellStart"/>
      <w:r>
        <w:rPr>
          <w:rFonts w:ascii="Calibri" w:hAnsi="Calibri"/>
        </w:rPr>
        <w:t>ενωσιακή</w:t>
      </w:r>
      <w:proofErr w:type="spellEnd"/>
      <w:r>
        <w:rPr>
          <w:rFonts w:ascii="Calibri" w:hAnsi="Calibri"/>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ενωσιακής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w:t>
      </w:r>
      <w:r w:rsidRPr="009654C5">
        <w:rPr>
          <w:rFonts w:ascii="Calibri" w:hAnsi="Calibri"/>
        </w:rPr>
        <w:t xml:space="preserve"> </w:t>
      </w:r>
      <w:r>
        <w:rPr>
          <w:rFonts w:ascii="Calibri" w:hAnsi="Calibri"/>
        </w:rPr>
        <w:t xml:space="preserve">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ενωσιακής πράξης και αν την κρίνει παράνομη να την κηρύξει ανεφάρμοστη για την διαφορά στην εκκρεμή δίκη ενώπιον του εθνικού δικαστηρίου.  </w:t>
      </w:r>
    </w:p>
    <w:p w:rsidR="00C954C2" w:rsidRPr="009654C5" w:rsidRDefault="00C954C2" w:rsidP="00C954C2">
      <w:pPr>
        <w:spacing w:line="360" w:lineRule="auto"/>
        <w:jc w:val="both"/>
        <w:rPr>
          <w:rFonts w:ascii="Calibri" w:hAnsi="Calibri"/>
        </w:rPr>
      </w:pPr>
      <w:r>
        <w:rPr>
          <w:rFonts w:ascii="Calibri" w:hAnsi="Calibri"/>
        </w:rPr>
        <w:t xml:space="preserve">Κατά συνέπεια σε ότι αφορά το </w:t>
      </w:r>
      <w:proofErr w:type="spellStart"/>
      <w:r>
        <w:rPr>
          <w:rFonts w:ascii="Calibri" w:hAnsi="Calibri"/>
        </w:rPr>
        <w:t>τεθέν</w:t>
      </w:r>
      <w:proofErr w:type="spellEnd"/>
      <w:r>
        <w:rPr>
          <w:rFonts w:ascii="Calibri" w:hAnsi="Calibri"/>
        </w:rPr>
        <w:t xml:space="preserve"> ερώτημα</w:t>
      </w:r>
      <w:r w:rsidRPr="009654C5">
        <w:rPr>
          <w:rFonts w:ascii="Calibri" w:hAnsi="Calibri"/>
        </w:rPr>
        <w:t>:</w:t>
      </w:r>
    </w:p>
    <w:p w:rsidR="00C954C2" w:rsidRDefault="00C954C2" w:rsidP="00C954C2">
      <w:pPr>
        <w:spacing w:line="360" w:lineRule="auto"/>
        <w:jc w:val="both"/>
        <w:rPr>
          <w:rFonts w:ascii="Calibri" w:hAnsi="Calibri"/>
          <w:b/>
          <w:bCs/>
        </w:rPr>
      </w:pPr>
    </w:p>
    <w:p w:rsidR="00C954C2" w:rsidRDefault="00C954C2" w:rsidP="00C954C2">
      <w:pPr>
        <w:spacing w:line="360" w:lineRule="auto"/>
        <w:jc w:val="both"/>
        <w:rPr>
          <w:rFonts w:ascii="Calibri" w:eastAsia="Calibri" w:hAnsi="Calibri"/>
        </w:rPr>
      </w:pPr>
      <w:r w:rsidRPr="007B2605">
        <w:rPr>
          <w:rFonts w:ascii="Calibri" w:hAnsi="Calibri"/>
        </w:rPr>
        <w:t xml:space="preserve">Ο πρόσφατος </w:t>
      </w:r>
      <w:r>
        <w:rPr>
          <w:rFonts w:ascii="Calibri" w:hAnsi="Calibri"/>
        </w:rPr>
        <w:t>Κανονισμό (ΕΕ) 62/2023, βάσει του οποίου και με αναδρομική ισχύ στους ιδιοκτήτες βιομηχανικών μονάδων, οι οποίες κατά τη λειτουργία τους υπερβαίνουν ορισμένα όρια εκπομπής ατμοσφαιρικών ρύπων, επιβάλλονται χρηματικές κυρώσεις</w:t>
      </w:r>
      <w:r w:rsidRPr="007B2605">
        <w:rPr>
          <w:rFonts w:ascii="Calibri" w:hAnsi="Calibri"/>
        </w:rPr>
        <w:t xml:space="preserve">, </w:t>
      </w:r>
      <w:r w:rsidRPr="007B2605">
        <w:rPr>
          <w:rFonts w:ascii="Calibri" w:eastAsia="Calibri" w:hAnsi="Calibri"/>
        </w:rPr>
        <w:t xml:space="preserve">αποτελεί μια γενική πράξη, που για να την προσβάλει η </w:t>
      </w:r>
      <w:r>
        <w:rPr>
          <w:rFonts w:ascii="Calibri" w:hAnsi="Calibri"/>
          <w:lang w:val="en-US"/>
        </w:rPr>
        <w:t>ELVOR</w:t>
      </w:r>
      <w:r w:rsidRPr="00F801F0">
        <w:rPr>
          <w:rFonts w:ascii="Calibri" w:hAnsi="Calibri"/>
        </w:rPr>
        <w:t xml:space="preserve"> </w:t>
      </w:r>
      <w:r>
        <w:rPr>
          <w:rFonts w:ascii="Calibri" w:hAnsi="Calibri"/>
        </w:rPr>
        <w:t xml:space="preserve">ΑΕ </w:t>
      </w:r>
      <w:r w:rsidRPr="007B2605">
        <w:rPr>
          <w:rFonts w:ascii="Calibri" w:eastAsia="Calibri" w:hAnsi="Calibri"/>
        </w:rPr>
        <w:t xml:space="preserve">θα πρέπει κατά το άρθρο 263 εδάφιο δ ΣΛΕΕ να την αφορά άμεσα και ατομικά. Από το ιστορικό της ασκήσεως δεν συνάγεται ότι ο Κανονισμός </w:t>
      </w:r>
      <w:r w:rsidRPr="007B2605">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7B2605">
        <w:rPr>
          <w:rFonts w:ascii="Calibri" w:hAnsi="Calibri"/>
        </w:rPr>
        <w:t xml:space="preserve"> την </w:t>
      </w:r>
      <w:r>
        <w:rPr>
          <w:rFonts w:ascii="Calibri" w:hAnsi="Calibri"/>
          <w:lang w:val="en-US"/>
        </w:rPr>
        <w:t>ELVOR</w:t>
      </w:r>
      <w:r w:rsidRPr="00F801F0">
        <w:rPr>
          <w:rFonts w:ascii="Calibri" w:hAnsi="Calibri"/>
        </w:rPr>
        <w:t xml:space="preserve"> </w:t>
      </w:r>
      <w:r>
        <w:rPr>
          <w:rFonts w:ascii="Calibri" w:hAnsi="Calibri"/>
        </w:rPr>
        <w:t>ΑΕ</w:t>
      </w:r>
      <w:r w:rsidRPr="007B2605">
        <w:rPr>
          <w:rFonts w:ascii="Calibri" w:hAnsi="Calibri"/>
        </w:rPr>
        <w:t xml:space="preserve">, όπως απαιτεί το Δικαστήριο για να αναγνωρίσει την ύπαρξη ατομικής σχέσης της εταιρείας με τον Κανονισμό (ΔΕΚ, 25/62 </w:t>
      </w:r>
      <w:r w:rsidRPr="007B2605">
        <w:rPr>
          <w:rFonts w:ascii="Calibri" w:hAnsi="Calibri"/>
          <w:lang w:val="en-US"/>
        </w:rPr>
        <w:t>Plaumann</w:t>
      </w:r>
      <w:r w:rsidRPr="007B2605">
        <w:rPr>
          <w:rFonts w:ascii="Calibri" w:hAnsi="Calibri"/>
        </w:rPr>
        <w:t xml:space="preserve">). </w:t>
      </w:r>
      <w:r>
        <w:rPr>
          <w:rFonts w:ascii="Calibri" w:hAnsi="Calibri"/>
        </w:rPr>
        <w:t xml:space="preserve">Όποτε η ευθεία προσβολή του κύρους του Κανονισμού με την άσκηση προσφυγής ακυρώσεως δεν έχει περιθώρια επιτυχούς έκβασης για την προάσπιση των συμφερόντων της </w:t>
      </w:r>
      <w:r>
        <w:rPr>
          <w:rFonts w:ascii="Calibri" w:hAnsi="Calibri"/>
          <w:lang w:val="en-US"/>
        </w:rPr>
        <w:t>ELVOR</w:t>
      </w:r>
      <w:r w:rsidRPr="00F801F0">
        <w:rPr>
          <w:rFonts w:ascii="Calibri" w:hAnsi="Calibri"/>
        </w:rPr>
        <w:t xml:space="preserve"> </w:t>
      </w:r>
      <w:r>
        <w:rPr>
          <w:rFonts w:ascii="Calibri" w:hAnsi="Calibri"/>
        </w:rPr>
        <w:t xml:space="preserve">ΑΕ. Αντίθετα, προτείνεται </w:t>
      </w:r>
      <w:r>
        <w:rPr>
          <w:rFonts w:ascii="Calibri" w:eastAsia="Calibri" w:hAnsi="Calibri"/>
        </w:rPr>
        <w:t xml:space="preserve">η προσφυγή της </w:t>
      </w:r>
      <w:r>
        <w:rPr>
          <w:rFonts w:ascii="Calibri" w:hAnsi="Calibri"/>
          <w:lang w:val="en-US"/>
        </w:rPr>
        <w:t>ELVOR</w:t>
      </w:r>
      <w:r w:rsidRPr="00F801F0">
        <w:rPr>
          <w:rFonts w:ascii="Calibri" w:hAnsi="Calibri"/>
        </w:rPr>
        <w:t xml:space="preserve"> </w:t>
      </w:r>
      <w:r>
        <w:rPr>
          <w:rFonts w:ascii="Calibri" w:hAnsi="Calibri"/>
        </w:rPr>
        <w:t>ΑΕ</w:t>
      </w:r>
      <w:r>
        <w:rPr>
          <w:rFonts w:ascii="Calibri" w:eastAsia="Calibri" w:hAnsi="Calibri"/>
        </w:rPr>
        <w:t xml:space="preserve"> ενώπιον του αρμοδίου ελληνικού δικαστηρίου κατά της εθνικής </w:t>
      </w:r>
      <w:r>
        <w:rPr>
          <w:rFonts w:ascii="Calibri" w:hAnsi="Calibri"/>
        </w:rPr>
        <w:t xml:space="preserve">πράξης επιβολής προστίμου  </w:t>
      </w:r>
      <w:r>
        <w:rPr>
          <w:rFonts w:ascii="Calibri" w:eastAsia="Calibri" w:hAnsi="Calibri"/>
        </w:rPr>
        <w:t xml:space="preserve">και έγερση ζητήματος νομιμότητας (κύρους) του Κανονισμού, με σκοπό να προκληθεί από το ελληνικό δικαστήριο προδικαστική παραπομπή κύρους του Κανονισμού. Στην περίπτωση που το ΔΕΕ κάνει δεκτούς ως βάσιμους τους ισχυρισμούς της </w:t>
      </w:r>
      <w:r>
        <w:rPr>
          <w:rFonts w:ascii="Calibri" w:hAnsi="Calibri"/>
          <w:lang w:val="en-US"/>
        </w:rPr>
        <w:t>ELVOR</w:t>
      </w:r>
      <w:r w:rsidRPr="00F801F0">
        <w:rPr>
          <w:rFonts w:ascii="Calibri" w:hAnsi="Calibri"/>
        </w:rPr>
        <w:t xml:space="preserve"> </w:t>
      </w:r>
      <w:r>
        <w:rPr>
          <w:rFonts w:ascii="Calibri" w:hAnsi="Calibri"/>
        </w:rPr>
        <w:t>ΑΕ</w:t>
      </w:r>
      <w:r w:rsidRPr="007B2605">
        <w:rPr>
          <w:rFonts w:ascii="Calibri" w:hAnsi="Calibri"/>
        </w:rPr>
        <w:t xml:space="preserve"> </w:t>
      </w:r>
      <w:r>
        <w:rPr>
          <w:rFonts w:ascii="Calibri" w:eastAsia="Calibri" w:hAnsi="Calibri"/>
        </w:rPr>
        <w:t xml:space="preserve">σχετικά με τη νομιμότητα του Κανονισμού, αυτός θα </w:t>
      </w:r>
      <w:r>
        <w:rPr>
          <w:rFonts w:ascii="Calibri" w:eastAsia="Calibri" w:hAnsi="Calibri"/>
        </w:rPr>
        <w:lastRenderedPageBreak/>
        <w:t xml:space="preserve">καταστεί ανεφάρμοστος στην εκκρεμή δίκη ενώπιον του ελληνικού δικαστηρίου και κατ’ επέκταση το ατομικό μέτρο που της επιβλήθηκε (επιβολή προστίμου) θα κριθεί παράνομο. </w:t>
      </w:r>
    </w:p>
    <w:p w:rsidR="00333587" w:rsidRDefault="00333587" w:rsidP="00C954C2">
      <w:pPr>
        <w:spacing w:line="360" w:lineRule="auto"/>
        <w:jc w:val="both"/>
        <w:rPr>
          <w:rFonts w:ascii="Calibri" w:eastAsia="Calibri" w:hAnsi="Calibri"/>
        </w:rPr>
      </w:pPr>
    </w:p>
    <w:p w:rsidR="00333587" w:rsidRDefault="00333587" w:rsidP="00C954C2">
      <w:pPr>
        <w:spacing w:line="360" w:lineRule="auto"/>
        <w:jc w:val="both"/>
        <w:rPr>
          <w:rFonts w:asciiTheme="minorHAnsi" w:hAnsiTheme="minorHAnsi" w:cstheme="minorHAnsi"/>
          <w:i/>
          <w:color w:val="000000"/>
          <w:shd w:val="clear" w:color="auto" w:fill="FFFFFF"/>
        </w:rPr>
      </w:pPr>
      <w:r>
        <w:rPr>
          <w:rFonts w:ascii="Calibri" w:eastAsia="Calibri" w:hAnsi="Calibri"/>
        </w:rPr>
        <w:t xml:space="preserve">2.  </w:t>
      </w:r>
      <w:r w:rsidRPr="00C60872">
        <w:rPr>
          <w:rFonts w:ascii="Calibri" w:hAnsi="Calibri"/>
          <w:shd w:val="clear" w:color="auto" w:fill="FFFFFF"/>
        </w:rPr>
        <w:t xml:space="preserve">Με το άρθρο 6 παρ. 1 ΣΕΕ αναγνωρίστηκε η νομική δεσμευτικότητα του Χάρτη Θεμελιωδών Δικαιωμάτων της Ευρωπαϊκής Ένωσης (Χάρτης), </w:t>
      </w:r>
      <w:r w:rsidRPr="00977AF4">
        <w:rPr>
          <w:rFonts w:ascii="Calibri" w:hAnsi="Calibri"/>
          <w:i/>
          <w:shd w:val="clear" w:color="auto" w:fill="FFFFFF"/>
        </w:rPr>
        <w:t>«</w:t>
      </w:r>
      <w:r w:rsidRPr="00977AF4">
        <w:rPr>
          <w:rFonts w:ascii="Calibri" w:hAnsi="Calibri"/>
          <w:i/>
          <w:color w:val="444444"/>
          <w:shd w:val="clear" w:color="auto" w:fill="FFFFFF"/>
        </w:rPr>
        <w:t>ο οποίος έχει το ίδιο νομικό κύρος με τις Συνθήκες».</w:t>
      </w:r>
      <w:r>
        <w:rPr>
          <w:rFonts w:ascii="Calibri" w:hAnsi="Calibri"/>
          <w:i/>
          <w:color w:val="444444"/>
          <w:shd w:val="clear" w:color="auto" w:fill="FFFFFF"/>
        </w:rPr>
        <w:t xml:space="preserve"> </w:t>
      </w:r>
      <w:r>
        <w:rPr>
          <w:rFonts w:ascii="Calibri" w:hAnsi="Calibri"/>
          <w:color w:val="444444"/>
          <w:shd w:val="clear" w:color="auto" w:fill="FFFFFF"/>
        </w:rPr>
        <w:t xml:space="preserve">Συνεπώς οι διατάξεις του Χάρτη και τα προστατευόμενα από αυτές δικαιώματα αποτελούν στο εξής πρωτογενές δίκαιο της ΕΕ. Αυτό έχει ως αποτέλεσμα οι διατάξεις του Χάρτη να αποτελούν κριτήριο ελέγχου της νομιμότητας των νομικών πράξεων της ΕΕ, υπαγόμενες στους λόγους του βάσιμου της προσφυγής  ως </w:t>
      </w:r>
      <w:r w:rsidRPr="00333587">
        <w:rPr>
          <w:rFonts w:asciiTheme="minorHAnsi" w:hAnsiTheme="minorHAnsi" w:cstheme="minorHAnsi"/>
          <w:i/>
          <w:color w:val="444444"/>
          <w:shd w:val="clear" w:color="auto" w:fill="FFFFFF"/>
        </w:rPr>
        <w:t>«</w:t>
      </w:r>
      <w:r w:rsidRPr="00333587">
        <w:rPr>
          <w:rFonts w:asciiTheme="minorHAnsi" w:hAnsiTheme="minorHAnsi" w:cstheme="minorHAnsi"/>
          <w:i/>
          <w:color w:val="000000"/>
          <w:shd w:val="clear" w:color="auto" w:fill="FFFFFF"/>
        </w:rPr>
        <w:t>παραβάσεως των Συνθηκών ή οποιουδήποτε κανόνα δικαίου σχετικού με την εφαρμογή της»</w:t>
      </w:r>
      <w:r>
        <w:rPr>
          <w:rFonts w:asciiTheme="minorHAnsi" w:hAnsiTheme="minorHAnsi" w:cstheme="minorHAnsi"/>
          <w:i/>
          <w:color w:val="000000"/>
          <w:shd w:val="clear" w:color="auto" w:fill="FFFFFF"/>
        </w:rPr>
        <w:t>.</w:t>
      </w:r>
    </w:p>
    <w:p w:rsidR="00333587" w:rsidRDefault="00333587" w:rsidP="00C954C2">
      <w:pPr>
        <w:spacing w:line="360" w:lineRule="auto"/>
        <w:jc w:val="both"/>
        <w:rPr>
          <w:rFonts w:asciiTheme="minorHAnsi" w:hAnsiTheme="minorHAnsi" w:cstheme="minorHAnsi"/>
          <w:i/>
          <w:color w:val="000000"/>
          <w:shd w:val="clear" w:color="auto" w:fill="FFFFFF"/>
        </w:rPr>
      </w:pPr>
    </w:p>
    <w:p w:rsidR="00333587" w:rsidRPr="009450BB" w:rsidRDefault="00333587" w:rsidP="00333587">
      <w:pPr>
        <w:spacing w:line="360" w:lineRule="auto"/>
        <w:jc w:val="center"/>
        <w:rPr>
          <w:rFonts w:ascii="Calibri" w:hAnsi="Calibri" w:cs="Calibri"/>
          <w:b/>
        </w:rPr>
      </w:pPr>
      <w:r w:rsidRPr="009C4911">
        <w:rPr>
          <w:rFonts w:ascii="Calibri" w:hAnsi="Calibri" w:cs="Calibri"/>
          <w:b/>
        </w:rPr>
        <w:t>ΘΕΜΑ ΙΙ</w:t>
      </w:r>
    </w:p>
    <w:p w:rsidR="009450BB" w:rsidRPr="00352CD1" w:rsidRDefault="009450BB" w:rsidP="009450BB">
      <w:pPr>
        <w:pStyle w:val="1"/>
        <w:shd w:val="clear" w:color="auto" w:fill="FFFFFF"/>
        <w:spacing w:before="0" w:beforeAutospacing="0" w:after="0" w:afterAutospacing="0" w:line="360" w:lineRule="auto"/>
        <w:jc w:val="both"/>
        <w:rPr>
          <w:rFonts w:ascii="Calibri" w:hAnsi="Calibri"/>
        </w:rPr>
      </w:pPr>
      <w:r>
        <w:rPr>
          <w:rFonts w:ascii="Calibri" w:hAnsi="Calibri"/>
        </w:rPr>
        <w:t>Η άσκηση</w:t>
      </w:r>
      <w:r w:rsidRPr="00CC4EA9">
        <w:rPr>
          <w:rFonts w:ascii="Calibri" w:hAnsi="Calibri"/>
        </w:rPr>
        <w:t xml:space="preserve"> θέτει το ζήτημα της προστασίας των δικαιωμάτων, που αντλούν οι ιδιώτες  από το δίκαιο της Ένωσης, ιδιαίτερα στην περίπτωση που οι αρχές Κράτους-μέλους παραβιάζουν την υποχρέωση να ενσωματώσουν διατάξεις Οδηγίας εμπρόθεσμα και με προσήκοντα τρόπο στην εθνική έννομη τάξη. Το ζήτημα έχει αντιμετωπισθεί από την νομολογία του Δικαστηρίου</w:t>
      </w:r>
      <w:r>
        <w:rPr>
          <w:rFonts w:ascii="Calibri" w:hAnsi="Calibri"/>
        </w:rPr>
        <w:t xml:space="preserve">, το οποίο έχει κάνει δεκτό ότι </w:t>
      </w:r>
      <w:r w:rsidRPr="00CC4EA9">
        <w:rPr>
          <w:rFonts w:ascii="Calibri" w:hAnsi="Calibri"/>
        </w:rPr>
        <w:t xml:space="preserve"> διατάξεις Οδηγιών αποκτούν άμεση ισχύ όταν πληρούνται σωρευτικά οι εξής προϋποθέσεις</w:t>
      </w:r>
      <w:r w:rsidRPr="00352CD1">
        <w:rPr>
          <w:rFonts w:ascii="Calibri" w:hAnsi="Calibri"/>
        </w:rPr>
        <w:t>:</w:t>
      </w:r>
      <w:r w:rsidRPr="00CC4EA9">
        <w:rPr>
          <w:rFonts w:ascii="Calibri" w:hAnsi="Calibri"/>
        </w:rPr>
        <w:t xml:space="preserve">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w:t>
      </w:r>
      <w:r>
        <w:rPr>
          <w:rFonts w:ascii="Calibri" w:hAnsi="Calibri"/>
        </w:rPr>
        <w:t>,</w:t>
      </w:r>
      <w:r w:rsidRPr="00CC4EA9">
        <w:rPr>
          <w:rFonts w:ascii="Calibri" w:hAnsi="Calibri"/>
        </w:rPr>
        <w:t xml:space="preserve"> (β) απονέμουν δικαιώματα στους ιδιώτες και (γ) έχει λήξει η προθεσμία ενσωμάτωσης, που έθεσε η Οδηγία στα Κράτη-μέλη. 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CC4EA9">
        <w:rPr>
          <w:rFonts w:ascii="Calibri" w:eastAsia="+mn-ea" w:hAnsi="Calibri" w:cs="+mn-cs"/>
          <w:bCs/>
          <w:color w:val="000000"/>
        </w:rPr>
        <w:t xml:space="preserve"> </w:t>
      </w:r>
      <w:r w:rsidRPr="00CC4EA9">
        <w:rPr>
          <w:rFonts w:ascii="Calibri" w:hAnsi="Calibri"/>
          <w:bCs/>
        </w:rPr>
        <w:t xml:space="preserve">41/74, </w:t>
      </w:r>
      <w:r w:rsidRPr="00CC4EA9">
        <w:rPr>
          <w:rFonts w:ascii="Calibri" w:hAnsi="Calibri"/>
          <w:bCs/>
          <w:iCs/>
          <w:lang w:val="en-US"/>
        </w:rPr>
        <w:t>Van</w:t>
      </w:r>
      <w:r w:rsidRPr="00CC4EA9">
        <w:rPr>
          <w:rFonts w:ascii="Calibri" w:hAnsi="Calibri"/>
          <w:bCs/>
          <w:iCs/>
        </w:rPr>
        <w:t xml:space="preserve"> </w:t>
      </w:r>
      <w:proofErr w:type="spellStart"/>
      <w:r w:rsidRPr="00CC4EA9">
        <w:rPr>
          <w:rFonts w:ascii="Calibri" w:hAnsi="Calibri"/>
          <w:bCs/>
          <w:iCs/>
          <w:lang w:val="en-US"/>
        </w:rPr>
        <w:t>Duyn</w:t>
      </w:r>
      <w:proofErr w:type="spellEnd"/>
      <w:r w:rsidRPr="00CC4EA9">
        <w:rPr>
          <w:rFonts w:ascii="Calibri" w:hAnsi="Calibri"/>
          <w:bCs/>
          <w:iCs/>
        </w:rPr>
        <w:t>)</w:t>
      </w:r>
      <w:r w:rsidRPr="00CC4EA9">
        <w:rPr>
          <w:rFonts w:ascii="Calibri" w:hAnsi="Calibri"/>
        </w:rPr>
        <w:t xml:space="preserve">.  Ωστόσο, το Δικαστήριο αρνείται σταθερά να δεχθεί την οριζόντια άμεση ισχύ διατάξεων Οδηγιών, τη δυνατότητα δηλαδή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CC4EA9">
        <w:rPr>
          <w:rFonts w:ascii="Calibri" w:hAnsi="Calibri"/>
          <w:lang w:val="en-US"/>
        </w:rPr>
        <w:t>Marshall</w:t>
      </w:r>
      <w:r w:rsidRPr="00CC4EA9">
        <w:rPr>
          <w:rFonts w:ascii="Calibri" w:hAnsi="Calibri"/>
        </w:rPr>
        <w:t xml:space="preserve">). Στην περίπτωση που η διάταξη της Οδηγίας δεν είναι αμέσου ισχύος ή τα δικαιώματα που </w:t>
      </w:r>
      <w:r w:rsidRPr="00CC4EA9">
        <w:rPr>
          <w:rFonts w:ascii="Calibri" w:hAnsi="Calibri"/>
        </w:rPr>
        <w:lastRenderedPageBreak/>
        <w:t>αντλούνται από την Οδηγία δεν μπορούν να προβληθούν λόγω της άρνησης του Δικαστηρίου να δεχθεί την οριζόντια άμεση ισχύ παρουσιάζεται κενό στην προστασία των ιδιωτών. Για την κάλυψη αυτού του κενού έχει συμβάλει η νομολογία του ΔΕΕ με τους εξής τρόπους: (α) δ</w:t>
      </w:r>
      <w:r w:rsidRPr="00CC4EA9">
        <w:rPr>
          <w:rFonts w:ascii="Calibri" w:hAnsi="Calibri"/>
          <w:bCs/>
        </w:rPr>
        <w:t xml:space="preserve">ιεύρυνε σημαντικά την έννοια της κρατικής αρχής, έτσι περισσότερες έννομες σχέσεις γίνονται κάθετες  </w:t>
      </w:r>
      <w:r w:rsidRPr="00CC4EA9">
        <w:rPr>
          <w:rFonts w:ascii="Calibri" w:hAnsi="Calibri"/>
        </w:rPr>
        <w:t>(σχέση Κρατικών αρχών – Ιδιώτη)</w:t>
      </w:r>
      <w:r w:rsidRPr="004D758B">
        <w:rPr>
          <w:rFonts w:ascii="Calibri" w:hAnsi="Calibri"/>
          <w:bCs/>
          <w:i/>
        </w:rPr>
        <w:t>,</w:t>
      </w:r>
      <w:r w:rsidRPr="00CC4EA9">
        <w:rPr>
          <w:rFonts w:ascii="Calibri" w:hAnsi="Calibri"/>
          <w:bCs/>
        </w:rPr>
        <w:t xml:space="preserve"> (β) αναγνώρισε </w:t>
      </w:r>
      <w:r>
        <w:rPr>
          <w:rFonts w:ascii="Calibri" w:hAnsi="Calibri"/>
          <w:bCs/>
        </w:rPr>
        <w:t xml:space="preserve">(ΔΕΚ, </w:t>
      </w:r>
      <w:r w:rsidRPr="004D758B">
        <w:rPr>
          <w:rFonts w:ascii="Calibri" w:hAnsi="Calibri"/>
          <w:bCs/>
        </w:rPr>
        <w:t xml:space="preserve">14/83 </w:t>
      </w:r>
      <w:r w:rsidRPr="004D758B">
        <w:rPr>
          <w:rFonts w:ascii="Calibri" w:hAnsi="Calibri"/>
          <w:bCs/>
          <w:iCs/>
          <w:lang w:val="en-US"/>
        </w:rPr>
        <w:t>Van</w:t>
      </w:r>
      <w:r w:rsidRPr="004D758B">
        <w:rPr>
          <w:rFonts w:ascii="Calibri" w:hAnsi="Calibri"/>
          <w:bCs/>
          <w:iCs/>
        </w:rPr>
        <w:t xml:space="preserve"> </w:t>
      </w:r>
      <w:r w:rsidRPr="004D758B">
        <w:rPr>
          <w:rFonts w:ascii="Calibri" w:hAnsi="Calibri"/>
          <w:bCs/>
          <w:iCs/>
          <w:lang w:val="en-US"/>
        </w:rPr>
        <w:t>Colson</w:t>
      </w:r>
      <w:r>
        <w:rPr>
          <w:rFonts w:ascii="Calibri" w:hAnsi="Calibri"/>
          <w:bCs/>
          <w:iCs/>
        </w:rPr>
        <w:t xml:space="preserve">) </w:t>
      </w:r>
      <w:r w:rsidRPr="004D758B">
        <w:rPr>
          <w:rFonts w:ascii="Calibri" w:hAnsi="Calibri"/>
          <w:bCs/>
        </w:rPr>
        <w:t>την</w:t>
      </w:r>
      <w:r w:rsidRPr="00CC4EA9">
        <w:rPr>
          <w:rFonts w:ascii="Calibri" w:hAnsi="Calibri"/>
          <w:bCs/>
        </w:rPr>
        <w:t xml:space="preserve"> υποχρέωση των εθνικών δικαστηρίων να ερμηνεύουν το εθνικό δίκαιο </w:t>
      </w:r>
      <w:r w:rsidRPr="00CC4EA9">
        <w:rPr>
          <w:rFonts w:ascii="Calibri" w:hAnsi="Calibri"/>
          <w:bCs/>
          <w:i/>
          <w:iCs/>
        </w:rPr>
        <w:t>«υπό το φως των διατάξεων και του στόχου της οδηγίας»</w:t>
      </w:r>
      <w:r w:rsidRPr="00CC4EA9">
        <w:rPr>
          <w:rFonts w:ascii="Calibri" w:hAnsi="Calibri"/>
        </w:rPr>
        <w:t xml:space="preserve"> (σύμφωνη ερμηνεία) και, τέλος (γ) αναγνώρισε τη δυνατότητα των ιδιωτών να προσφεύγουν κατά των εθνικών αρχών και να αξιώνουν αποκατάσταση της ζημίας, που προκλήθηκε από την αντίθετη με το ενωσιακό δίκαιο συμπεριφορά του Κράτους (ΔΕΚ, </w:t>
      </w:r>
      <w:r w:rsidRPr="00CC4EA9">
        <w:rPr>
          <w:rFonts w:ascii="Calibri" w:hAnsi="Calibri"/>
          <w:lang w:val="en-US"/>
        </w:rPr>
        <w:t>C</w:t>
      </w:r>
      <w:r w:rsidRPr="00CC4EA9">
        <w:rPr>
          <w:rFonts w:ascii="Calibri" w:hAnsi="Calibri"/>
        </w:rPr>
        <w:t xml:space="preserve">-6/90 και 9/90 </w:t>
      </w:r>
      <w:r w:rsidRPr="00CC4EA9">
        <w:rPr>
          <w:rFonts w:ascii="Calibri" w:hAnsi="Calibri"/>
          <w:lang w:val="en-US"/>
        </w:rPr>
        <w:t>Francovich</w:t>
      </w:r>
      <w:r w:rsidRPr="00CC4EA9">
        <w:rPr>
          <w:rFonts w:ascii="Calibri" w:hAnsi="Calibri"/>
        </w:rPr>
        <w:t xml:space="preserve"> κλπ)</w:t>
      </w:r>
      <w:r w:rsidRPr="00352CD1">
        <w:rPr>
          <w:rFonts w:ascii="Calibri" w:hAnsi="Calibri"/>
        </w:rPr>
        <w:t xml:space="preserve">. </w:t>
      </w:r>
    </w:p>
    <w:p w:rsidR="009450BB" w:rsidRDefault="009450BB" w:rsidP="009450BB">
      <w:pPr>
        <w:spacing w:line="360" w:lineRule="auto"/>
        <w:jc w:val="both"/>
        <w:rPr>
          <w:rFonts w:asciiTheme="minorHAnsi" w:hAnsiTheme="minorHAnsi"/>
        </w:rPr>
      </w:pPr>
      <w:r w:rsidRPr="00CC4EA9">
        <w:rPr>
          <w:rFonts w:ascii="Calibri" w:hAnsi="Calibri"/>
        </w:rPr>
        <w:t xml:space="preserve"> </w:t>
      </w:r>
      <w:r>
        <w:rPr>
          <w:rFonts w:ascii="Calibri" w:hAnsi="Calibri"/>
        </w:rPr>
        <w:t xml:space="preserve">Λαμβάνοντας υπόψη ότι η διάταξη του άρθρου 12 της </w:t>
      </w:r>
      <w:r w:rsidRPr="00D13627">
        <w:rPr>
          <w:rFonts w:asciiTheme="minorHAnsi" w:hAnsiTheme="minorHAnsi"/>
        </w:rPr>
        <w:t>Οδηγία</w:t>
      </w:r>
      <w:r>
        <w:rPr>
          <w:rFonts w:asciiTheme="minorHAnsi" w:hAnsiTheme="minorHAnsi"/>
        </w:rPr>
        <w:t>ς</w:t>
      </w:r>
      <w:r w:rsidRPr="00D13627">
        <w:rPr>
          <w:rFonts w:asciiTheme="minorHAnsi" w:hAnsiTheme="minorHAnsi"/>
        </w:rPr>
        <w:t xml:space="preserve"> 201</w:t>
      </w:r>
      <w:r w:rsidRPr="001C2F80">
        <w:rPr>
          <w:rFonts w:asciiTheme="minorHAnsi" w:hAnsiTheme="minorHAnsi"/>
        </w:rPr>
        <w:t>9</w:t>
      </w:r>
      <w:r w:rsidRPr="00D13627">
        <w:rPr>
          <w:rFonts w:asciiTheme="minorHAnsi" w:hAnsiTheme="minorHAnsi"/>
        </w:rPr>
        <w:t>/</w:t>
      </w:r>
      <w:r w:rsidRPr="001C2F80">
        <w:rPr>
          <w:rFonts w:asciiTheme="minorHAnsi" w:hAnsiTheme="minorHAnsi"/>
        </w:rPr>
        <w:t>8</w:t>
      </w:r>
      <w:r w:rsidRPr="00D13627">
        <w:rPr>
          <w:rFonts w:asciiTheme="minorHAnsi" w:hAnsiTheme="minorHAnsi"/>
        </w:rPr>
        <w:t xml:space="preserve"> </w:t>
      </w:r>
      <w:r>
        <w:rPr>
          <w:rFonts w:asciiTheme="minorHAnsi" w:hAnsiTheme="minorHAnsi"/>
        </w:rPr>
        <w:t xml:space="preserve"> συγκεντρώνει της προαναφερθείσες προϋποθέσεις για την αναγνώριση αμέσου ισχύος το ζήτημα που πρέπει να διερευνηθεί είναι αν η</w:t>
      </w:r>
      <w:r w:rsidRPr="009450BB">
        <w:rPr>
          <w:rFonts w:asciiTheme="minorHAnsi" w:hAnsiTheme="minorHAnsi"/>
        </w:rPr>
        <w:t xml:space="preserve"> </w:t>
      </w:r>
      <w:r>
        <w:rPr>
          <w:rFonts w:asciiTheme="minorHAnsi" w:hAnsiTheme="minorHAnsi"/>
          <w:lang w:val="en-US"/>
        </w:rPr>
        <w:t>Iohanna</w:t>
      </w:r>
      <w:r>
        <w:rPr>
          <w:rFonts w:asciiTheme="minorHAnsi" w:hAnsiTheme="minorHAnsi"/>
        </w:rPr>
        <w:t xml:space="preserve"> μπορεί να επικαλεστεί την ευνοϊκή </w:t>
      </w:r>
      <w:r w:rsidRPr="00D13627">
        <w:rPr>
          <w:rFonts w:asciiTheme="minorHAnsi" w:hAnsiTheme="minorHAnsi"/>
        </w:rPr>
        <w:t>για αυτήν διάταξη της Οδηγίας</w:t>
      </w:r>
      <w:r>
        <w:rPr>
          <w:rFonts w:asciiTheme="minorHAnsi" w:hAnsiTheme="minorHAnsi"/>
        </w:rPr>
        <w:t xml:space="preserve">. Ειδικότερα θα πρέπει να διερευνηθεί αν το </w:t>
      </w:r>
      <w:r w:rsidRPr="00D13627">
        <w:rPr>
          <w:rFonts w:asciiTheme="minorHAnsi" w:hAnsiTheme="minorHAnsi"/>
        </w:rPr>
        <w:t xml:space="preserve">Αυτόνομο Πανεπιστήμιο </w:t>
      </w:r>
      <w:r>
        <w:rPr>
          <w:rFonts w:asciiTheme="minorHAnsi" w:hAnsiTheme="minorHAnsi"/>
        </w:rPr>
        <w:t xml:space="preserve">του Ελσίνκι αποτελεί κρατική αρχή έτσι ώστε η έννομη σχέση του με την </w:t>
      </w:r>
      <w:r>
        <w:rPr>
          <w:rFonts w:asciiTheme="minorHAnsi" w:hAnsiTheme="minorHAnsi"/>
          <w:lang w:val="en-US"/>
        </w:rPr>
        <w:t>Iohanna</w:t>
      </w:r>
      <w:r w:rsidRPr="009450BB">
        <w:rPr>
          <w:rFonts w:asciiTheme="minorHAnsi" w:hAnsiTheme="minorHAnsi"/>
        </w:rPr>
        <w:t xml:space="preserve"> </w:t>
      </w:r>
      <w:r>
        <w:rPr>
          <w:rFonts w:asciiTheme="minorHAnsi" w:hAnsiTheme="minorHAnsi"/>
        </w:rPr>
        <w:t xml:space="preserve">είναι κάθετη, με αποτέλεσμα αυτή να μπορεί να επικαλεστεί εναντίον του την διάταξη της Οδηγίας και να αξιώσει δικαστική προστασία των δικαιωμάτων της. Στην αντίθετη περίπτωση θα πρέπει να αναζητηθεί άλλη οδός έννομης προστασίας. </w:t>
      </w:r>
    </w:p>
    <w:p w:rsidR="009450BB" w:rsidRPr="0057436E" w:rsidRDefault="009450BB" w:rsidP="009450BB">
      <w:pPr>
        <w:spacing w:line="360" w:lineRule="auto"/>
        <w:jc w:val="both"/>
        <w:rPr>
          <w:rFonts w:asciiTheme="minorHAnsi" w:hAnsiTheme="minorHAnsi"/>
        </w:rPr>
      </w:pPr>
      <w:r>
        <w:rPr>
          <w:rFonts w:asciiTheme="minorHAnsi" w:hAnsiTheme="minorHAnsi"/>
        </w:rPr>
        <w:t xml:space="preserve">Εκ πρώτης όψεως και με βάση την συνταγματικά κατοχυρωμένη αυτοτέλειά του το </w:t>
      </w:r>
      <w:r w:rsidRPr="00D13627">
        <w:rPr>
          <w:rFonts w:asciiTheme="minorHAnsi" w:hAnsiTheme="minorHAnsi"/>
        </w:rPr>
        <w:t xml:space="preserve">Αυτόνομο Πανεπιστήμιο </w:t>
      </w:r>
      <w:r>
        <w:rPr>
          <w:rFonts w:asciiTheme="minorHAnsi" w:hAnsiTheme="minorHAnsi"/>
        </w:rPr>
        <w:t xml:space="preserve">του Ελσίνκι δεν μπορεί να θεωρηθεί κρατική αρχή, με την στενή του όρου έννοια. Ωστόσο, το Δικαστήριο, σε μια προσπάθεια διεύρυνσης της έννοιας της κρατικής αρχής προς διασφάλιση των δικαιωμάτων που αντλούν οι ιδιώτες από διατάξεις Οδηγιών, έκανε δεκτό ότι </w:t>
      </w:r>
      <w:r w:rsidRPr="003C4D4F">
        <w:rPr>
          <w:rFonts w:asciiTheme="minorHAnsi" w:hAnsiTheme="minorHAnsi"/>
          <w:i/>
        </w:rPr>
        <w:t xml:space="preserve">«οι ιδιώτες μπορούν να επικαλούνται τις ανεπιφύλακτες και επαρκώς σαφείς διατάξεις των οδηγιών έναντι οργανισμών ή φορέων που υπόκεινται </w:t>
      </w:r>
      <w:r w:rsidRPr="009450BB">
        <w:rPr>
          <w:rFonts w:asciiTheme="minorHAnsi" w:hAnsiTheme="minorHAnsi"/>
          <w:i/>
          <w:u w:val="single"/>
        </w:rPr>
        <w:t>στην εποπτεία ή στον έλεγχο του κράτους</w:t>
      </w:r>
      <w:r w:rsidRPr="003C4D4F">
        <w:rPr>
          <w:rFonts w:asciiTheme="minorHAnsi" w:hAnsiTheme="minorHAnsi"/>
          <w:i/>
        </w:rPr>
        <w:t xml:space="preserve"> ή που έχουν εξαιρετικές εξουσίες σε σχέση με εκείνες που απορρέουν από τους εφαρμοστέους στις σχέσεις μεταξύ ιδιωτών κανόνες»</w:t>
      </w:r>
      <w:r>
        <w:rPr>
          <w:rFonts w:asciiTheme="minorHAnsi" w:hAnsiTheme="minorHAnsi"/>
        </w:rPr>
        <w:t xml:space="preserve"> (ΔΕΚ, 188/89 </w:t>
      </w:r>
      <w:r>
        <w:rPr>
          <w:rFonts w:asciiTheme="minorHAnsi" w:hAnsiTheme="minorHAnsi"/>
          <w:lang w:val="en-US"/>
        </w:rPr>
        <w:t>Foster</w:t>
      </w:r>
      <w:r w:rsidRPr="0057436E">
        <w:rPr>
          <w:rFonts w:asciiTheme="minorHAnsi" w:hAnsiTheme="minorHAnsi"/>
        </w:rPr>
        <w:t>). Με τον τρόπο αυτό το Δικαστήριο δέχθηκε ότι είναι δυνατή η επίκληση διατάξεων οδηγιών έναντι φορολογικών αρχών, οργανισμών τοπικής αυτοδιοίκησης (</w:t>
      </w:r>
      <w:r>
        <w:rPr>
          <w:rFonts w:asciiTheme="minorHAnsi" w:hAnsiTheme="minorHAnsi"/>
        </w:rPr>
        <w:t>ΔΕΚ, 103/88</w:t>
      </w:r>
      <w:r w:rsidRPr="0057436E">
        <w:rPr>
          <w:rFonts w:asciiTheme="minorHAnsi" w:hAnsiTheme="minorHAnsi"/>
        </w:rPr>
        <w:t xml:space="preserve"> </w:t>
      </w:r>
      <w:proofErr w:type="spellStart"/>
      <w:r w:rsidRPr="0057436E">
        <w:rPr>
          <w:rFonts w:asciiTheme="minorHAnsi" w:hAnsiTheme="minorHAnsi"/>
        </w:rPr>
        <w:t>Fratelli</w:t>
      </w:r>
      <w:proofErr w:type="spellEnd"/>
      <w:r w:rsidRPr="0057436E">
        <w:rPr>
          <w:rFonts w:asciiTheme="minorHAnsi" w:hAnsiTheme="minorHAnsi"/>
        </w:rPr>
        <w:t xml:space="preserve"> </w:t>
      </w:r>
      <w:proofErr w:type="spellStart"/>
      <w:r w:rsidRPr="0057436E">
        <w:rPr>
          <w:rFonts w:asciiTheme="minorHAnsi" w:hAnsiTheme="minorHAnsi"/>
        </w:rPr>
        <w:t>Costanzo</w:t>
      </w:r>
      <w:proofErr w:type="spellEnd"/>
      <w:r>
        <w:rPr>
          <w:rFonts w:asciiTheme="minorHAnsi" w:hAnsiTheme="minorHAnsi"/>
        </w:rPr>
        <w:t>)</w:t>
      </w:r>
      <w:r w:rsidRPr="0057436E">
        <w:rPr>
          <w:rFonts w:asciiTheme="minorHAnsi" w:hAnsiTheme="minorHAnsi"/>
        </w:rPr>
        <w:t xml:space="preserve">, αρχών συνταγματικά ανεξαρτήτων, επιφορτισμένων με την τήρηση της </w:t>
      </w:r>
      <w:r w:rsidRPr="0057436E">
        <w:rPr>
          <w:rFonts w:asciiTheme="minorHAnsi" w:hAnsiTheme="minorHAnsi"/>
        </w:rPr>
        <w:lastRenderedPageBreak/>
        <w:t>τάξεως και τη δημόσια ασφάλεια (</w:t>
      </w:r>
      <w:r>
        <w:rPr>
          <w:rFonts w:asciiTheme="minorHAnsi" w:hAnsiTheme="minorHAnsi"/>
        </w:rPr>
        <w:t xml:space="preserve">ΔΕΚ, 222/84 </w:t>
      </w:r>
      <w:proofErr w:type="spellStart"/>
      <w:r w:rsidRPr="0057436E">
        <w:rPr>
          <w:rFonts w:asciiTheme="minorHAnsi" w:hAnsiTheme="minorHAnsi"/>
        </w:rPr>
        <w:t>Johnston</w:t>
      </w:r>
      <w:proofErr w:type="spellEnd"/>
      <w:r>
        <w:rPr>
          <w:rFonts w:asciiTheme="minorHAnsi" w:hAnsiTheme="minorHAnsi"/>
        </w:rPr>
        <w:t>)</w:t>
      </w:r>
      <w:r w:rsidRPr="0057436E">
        <w:rPr>
          <w:rFonts w:asciiTheme="minorHAnsi" w:hAnsiTheme="minorHAnsi"/>
        </w:rPr>
        <w:t xml:space="preserve">, καθώς και έναντι δημοσίων αρχών </w:t>
      </w:r>
      <w:proofErr w:type="spellStart"/>
      <w:r w:rsidRPr="0057436E">
        <w:rPr>
          <w:rFonts w:asciiTheme="minorHAnsi" w:hAnsiTheme="minorHAnsi"/>
        </w:rPr>
        <w:t>ασχολουμένων</w:t>
      </w:r>
      <w:proofErr w:type="spellEnd"/>
      <w:r w:rsidRPr="0057436E">
        <w:rPr>
          <w:rFonts w:asciiTheme="minorHAnsi" w:hAnsiTheme="minorHAnsi"/>
        </w:rPr>
        <w:t xml:space="preserve"> με την παροχή υπηρεσιών</w:t>
      </w:r>
      <w:r>
        <w:rPr>
          <w:rFonts w:asciiTheme="minorHAnsi" w:hAnsiTheme="minorHAnsi"/>
        </w:rPr>
        <w:t xml:space="preserve"> στον τομέα της δημοσίας υγείας. </w:t>
      </w:r>
      <w:r w:rsidRPr="0057436E">
        <w:rPr>
          <w:rFonts w:asciiTheme="minorHAnsi" w:hAnsiTheme="minorHAnsi"/>
        </w:rPr>
        <w:t xml:space="preserve">Από </w:t>
      </w:r>
      <w:r>
        <w:rPr>
          <w:rFonts w:asciiTheme="minorHAnsi" w:hAnsiTheme="minorHAnsi"/>
        </w:rPr>
        <w:t xml:space="preserve">τα παραπάνω </w:t>
      </w:r>
      <w:r w:rsidRPr="0057436E">
        <w:rPr>
          <w:rFonts w:asciiTheme="minorHAnsi" w:hAnsiTheme="minorHAnsi"/>
        </w:rPr>
        <w:t xml:space="preserve">προκύπτει ότι μεταξύ των φορέων έναντι των οποίων είναι δυνατή η επίκληση διατάξεων </w:t>
      </w:r>
      <w:r>
        <w:rPr>
          <w:rFonts w:asciiTheme="minorHAnsi" w:hAnsiTheme="minorHAnsi"/>
        </w:rPr>
        <w:t>Ο</w:t>
      </w:r>
      <w:r w:rsidRPr="0057436E">
        <w:rPr>
          <w:rFonts w:asciiTheme="minorHAnsi" w:hAnsiTheme="minorHAnsi"/>
        </w:rPr>
        <w:t xml:space="preserve">δηγιών που μπορούν να έχουν άμεσο αποτέλεσμα περιλαμβάνεται ένας οργανισμός στον οποίο, ασχέτως της νομικής </w:t>
      </w:r>
      <w:r>
        <w:rPr>
          <w:rFonts w:asciiTheme="minorHAnsi" w:hAnsiTheme="minorHAnsi"/>
        </w:rPr>
        <w:t xml:space="preserve">του </w:t>
      </w:r>
      <w:r w:rsidRPr="0057436E">
        <w:rPr>
          <w:rFonts w:asciiTheme="minorHAnsi" w:hAnsiTheme="minorHAnsi"/>
        </w:rPr>
        <w:t>μορφής, έχει ανατεθεί δυνάμει πράξεως της δημοσίας αρχής η παροχή υπηρεσίας δημοσίου συμφέροντος υπό την εποπτεία της αρχής αυτής και ο οποίος έχει, προς τούτο, εξαιρετικές εξουσίες σε σχέση με τους εφαρμοστέους στις σχέσεις μεταξύ ιδιωτών κανόνες</w:t>
      </w:r>
      <w:r>
        <w:rPr>
          <w:rFonts w:asciiTheme="minorHAnsi" w:hAnsiTheme="minorHAnsi"/>
        </w:rPr>
        <w:t>.</w:t>
      </w:r>
    </w:p>
    <w:p w:rsidR="009450BB" w:rsidRPr="0057436E" w:rsidRDefault="009450BB" w:rsidP="009450BB">
      <w:pPr>
        <w:spacing w:line="360" w:lineRule="auto"/>
        <w:jc w:val="both"/>
        <w:rPr>
          <w:rFonts w:asciiTheme="minorHAnsi" w:hAnsiTheme="minorHAnsi"/>
        </w:rPr>
      </w:pPr>
      <w:r>
        <w:rPr>
          <w:rFonts w:asciiTheme="minorHAnsi" w:hAnsiTheme="minorHAnsi"/>
        </w:rPr>
        <w:t xml:space="preserve">Κατά συνέπεια επειδή το </w:t>
      </w:r>
      <w:r w:rsidRPr="00D13627">
        <w:rPr>
          <w:rFonts w:asciiTheme="minorHAnsi" w:hAnsiTheme="minorHAnsi"/>
        </w:rPr>
        <w:t xml:space="preserve">Αυτόνομο Πανεπιστήμιο </w:t>
      </w:r>
      <w:r>
        <w:rPr>
          <w:rFonts w:asciiTheme="minorHAnsi" w:hAnsiTheme="minorHAnsi"/>
        </w:rPr>
        <w:t xml:space="preserve">του Ελσίνκι, παρά την αυτοτέλεια του, έχει ιδρυθεί με νόμο, του έχει απονεμηθεί η αρμοδιότητα απονομής πτυχίων, χρηματοδοτείται σε μεγάλο βαθμό από κρατικούς πόρους ενώ </w:t>
      </w:r>
      <w:r w:rsidRPr="00D13627">
        <w:rPr>
          <w:rFonts w:asciiTheme="minorHAnsi" w:hAnsiTheme="minorHAnsi"/>
        </w:rPr>
        <w:t>λειτουργεί κάτω από την εποπτεία του Υπουργείου Παιδείας</w:t>
      </w:r>
      <w:r>
        <w:rPr>
          <w:rFonts w:asciiTheme="minorHAnsi" w:hAnsiTheme="minorHAnsi"/>
        </w:rPr>
        <w:t xml:space="preserve"> της Φινλανδίας μπορεί να θεωρηθεί κρατική αρχή κατά την προαναφερθείσα νομολογία του Δικαστηρίου. Αυτό έχει ως αποτέλεσμα η εργασιακή σχέση του με την </w:t>
      </w:r>
      <w:r>
        <w:rPr>
          <w:rFonts w:asciiTheme="minorHAnsi" w:hAnsiTheme="minorHAnsi"/>
          <w:lang w:val="en-US"/>
        </w:rPr>
        <w:t>Iohanna</w:t>
      </w:r>
      <w:r w:rsidRPr="003C4D4F">
        <w:rPr>
          <w:rFonts w:asciiTheme="minorHAnsi" w:hAnsiTheme="minorHAnsi"/>
        </w:rPr>
        <w:t xml:space="preserve"> </w:t>
      </w:r>
      <w:r>
        <w:rPr>
          <w:rFonts w:asciiTheme="minorHAnsi" w:hAnsiTheme="minorHAnsi"/>
        </w:rPr>
        <w:t xml:space="preserve">να χαρακτηρίζεται κάθετη και αυτή να μπορεί να προσφύγει εναντίον του Πανεπιστημίου στο αρμόδιο εθνικό δικαστήριο αξιώνοντας δικαστική προστασία του δικαιώματος, που αντλεί από το άρθρο 12 της Οδηγίας  </w:t>
      </w:r>
      <w:r w:rsidRPr="00D13627">
        <w:rPr>
          <w:rFonts w:asciiTheme="minorHAnsi" w:hAnsiTheme="minorHAnsi"/>
        </w:rPr>
        <w:t>201</w:t>
      </w:r>
      <w:r w:rsidRPr="001C2F80">
        <w:rPr>
          <w:rFonts w:asciiTheme="minorHAnsi" w:hAnsiTheme="minorHAnsi"/>
        </w:rPr>
        <w:t>9</w:t>
      </w:r>
      <w:r w:rsidRPr="00D13627">
        <w:rPr>
          <w:rFonts w:asciiTheme="minorHAnsi" w:hAnsiTheme="minorHAnsi"/>
        </w:rPr>
        <w:t>/</w:t>
      </w:r>
      <w:r w:rsidRPr="001C2F80">
        <w:rPr>
          <w:rFonts w:asciiTheme="minorHAnsi" w:hAnsiTheme="minorHAnsi"/>
        </w:rPr>
        <w:t>8</w:t>
      </w:r>
      <w:r>
        <w:rPr>
          <w:rFonts w:asciiTheme="minorHAnsi" w:hAnsiTheme="minorHAnsi"/>
        </w:rPr>
        <w:t xml:space="preserve">. </w:t>
      </w:r>
    </w:p>
    <w:p w:rsidR="00333587" w:rsidRPr="00333587" w:rsidRDefault="00333587" w:rsidP="00C954C2">
      <w:pPr>
        <w:spacing w:line="360" w:lineRule="auto"/>
        <w:jc w:val="both"/>
        <w:rPr>
          <w:rFonts w:asciiTheme="minorHAnsi" w:eastAsia="Calibri" w:hAnsiTheme="minorHAnsi" w:cstheme="minorHAnsi"/>
          <w:i/>
        </w:rPr>
      </w:pPr>
      <w:r w:rsidRPr="00333587">
        <w:rPr>
          <w:rFonts w:asciiTheme="minorHAnsi" w:eastAsia="Calibri" w:hAnsiTheme="minorHAnsi" w:cstheme="minorHAnsi"/>
          <w:i/>
        </w:rPr>
        <w:t xml:space="preserve">   </w:t>
      </w:r>
    </w:p>
    <w:p w:rsidR="009450BB" w:rsidRPr="001C2F80" w:rsidRDefault="009450BB" w:rsidP="009450BB">
      <w:pPr>
        <w:spacing w:line="360" w:lineRule="auto"/>
        <w:jc w:val="center"/>
        <w:rPr>
          <w:rFonts w:ascii="Calibri" w:hAnsi="Calibri" w:cs="Calibri"/>
          <w:b/>
        </w:rPr>
      </w:pPr>
      <w:r w:rsidRPr="009C4911">
        <w:rPr>
          <w:rFonts w:ascii="Calibri" w:hAnsi="Calibri" w:cs="Calibri"/>
          <w:b/>
        </w:rPr>
        <w:t>ΘΕΜΑ ΙΙ</w:t>
      </w:r>
      <w:r>
        <w:rPr>
          <w:rFonts w:ascii="Calibri" w:hAnsi="Calibri" w:cs="Calibri"/>
          <w:b/>
          <w:lang w:val="en-US"/>
        </w:rPr>
        <w:t>I</w:t>
      </w:r>
    </w:p>
    <w:p w:rsidR="00C954C2" w:rsidRDefault="00C954C2" w:rsidP="00C954C2">
      <w:pPr>
        <w:jc w:val="center"/>
        <w:rPr>
          <w:rFonts w:ascii="Calibri" w:hAnsi="Calibri"/>
          <w:b/>
        </w:rPr>
      </w:pPr>
    </w:p>
    <w:p w:rsidR="00971895" w:rsidRPr="00781A54" w:rsidRDefault="00971895" w:rsidP="00971895">
      <w:pPr>
        <w:tabs>
          <w:tab w:val="num" w:pos="720"/>
        </w:tabs>
        <w:spacing w:line="360" w:lineRule="auto"/>
        <w:jc w:val="both"/>
        <w:rPr>
          <w:rFonts w:asciiTheme="minorHAnsi" w:hAnsiTheme="minorHAnsi"/>
          <w:bCs/>
          <w:color w:val="444444"/>
          <w:shd w:val="clear" w:color="auto" w:fill="FFFFFF"/>
        </w:rPr>
      </w:pPr>
      <w:r>
        <w:rPr>
          <w:rFonts w:ascii="Calibri" w:hAnsi="Calibri"/>
        </w:rPr>
        <w:t>Από</w:t>
      </w:r>
      <w:r w:rsidRPr="00642A25">
        <w:rPr>
          <w:rFonts w:ascii="Calibri" w:hAnsi="Calibri"/>
        </w:rPr>
        <w:t xml:space="preserve"> το άρθρο</w:t>
      </w:r>
      <w:r>
        <w:rPr>
          <w:rFonts w:ascii="Calibri" w:hAnsi="Calibri"/>
          <w:b/>
        </w:rPr>
        <w:t xml:space="preserve"> </w:t>
      </w:r>
      <w:r w:rsidRPr="00642A25">
        <w:rPr>
          <w:rFonts w:ascii="Calibri" w:hAnsi="Calibri"/>
        </w:rPr>
        <w:t xml:space="preserve">267 </w:t>
      </w:r>
      <w:r>
        <w:rPr>
          <w:rFonts w:ascii="Calibri" w:hAnsi="Calibri"/>
        </w:rPr>
        <w:t xml:space="preserve">ΣΛΕΕ, που ορίζει </w:t>
      </w:r>
      <w:r w:rsidRPr="00642A25">
        <w:rPr>
          <w:rFonts w:ascii="Calibri" w:hAnsi="Calibri"/>
          <w:i/>
        </w:rPr>
        <w:t>«</w:t>
      </w:r>
      <w:r w:rsidRPr="00642A25">
        <w:rPr>
          <w:rFonts w:ascii="Calibri" w:hAnsi="Calibri"/>
          <w:i/>
          <w:color w:val="444444"/>
          <w:shd w:val="clear" w:color="auto" w:fill="FFFFFF"/>
        </w:rPr>
        <w:t>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r>
        <w:rPr>
          <w:rFonts w:ascii="Calibri" w:hAnsi="Calibri"/>
          <w:i/>
          <w:color w:val="444444"/>
          <w:shd w:val="clear" w:color="auto" w:fill="FFFFFF"/>
        </w:rPr>
        <w:t xml:space="preserve">», </w:t>
      </w:r>
      <w:r>
        <w:rPr>
          <w:rFonts w:ascii="Calibri" w:hAnsi="Calibri"/>
          <w:color w:val="444444"/>
          <w:shd w:val="clear" w:color="auto" w:fill="FFFFFF"/>
        </w:rPr>
        <w:t xml:space="preserve">συνάγεται η υποχρέωση των δικαστηρίων των Κρατών-μελών των οποίων οι αποφάσεις δεν επιδέχονται ένδικα μέσα να παραπέμπουν προδικαστικά ερωτήματα στο ΔΕΕ, όταν καλούνται να αντιμετωπίσουν ζήτημα ερμηνείας ή κύρους κανόνων του δικαίου της Ένωσης. Ωστόσο, το Δικαστήριο και σε απάντηση της ουσιαστικής άρνησης των ανωτάτων εθνικών δικαστηρίων μέσω της πρακτικής της </w:t>
      </w:r>
      <w:r w:rsidRPr="00F029EF">
        <w:rPr>
          <w:rFonts w:ascii="Calibri" w:hAnsi="Calibri"/>
          <w:i/>
          <w:color w:val="444444"/>
          <w:shd w:val="clear" w:color="auto" w:fill="FFFFFF"/>
        </w:rPr>
        <w:t>«</w:t>
      </w:r>
      <w:proofErr w:type="spellStart"/>
      <w:r w:rsidRPr="00F029EF">
        <w:rPr>
          <w:rFonts w:ascii="Calibri" w:hAnsi="Calibri"/>
          <w:i/>
          <w:color w:val="444444"/>
          <w:shd w:val="clear" w:color="auto" w:fill="FFFFFF"/>
          <w:lang w:val="en-US"/>
        </w:rPr>
        <w:t>acte</w:t>
      </w:r>
      <w:proofErr w:type="spellEnd"/>
      <w:r w:rsidRPr="00F029EF">
        <w:rPr>
          <w:rFonts w:ascii="Calibri" w:hAnsi="Calibri"/>
          <w:i/>
          <w:color w:val="444444"/>
          <w:shd w:val="clear" w:color="auto" w:fill="FFFFFF"/>
        </w:rPr>
        <w:t xml:space="preserve"> </w:t>
      </w:r>
      <w:proofErr w:type="spellStart"/>
      <w:r w:rsidRPr="00F029EF">
        <w:rPr>
          <w:rFonts w:ascii="Calibri" w:hAnsi="Calibri"/>
          <w:i/>
          <w:color w:val="444444"/>
          <w:shd w:val="clear" w:color="auto" w:fill="FFFFFF"/>
          <w:lang w:val="en-US"/>
        </w:rPr>
        <w:t>claire</w:t>
      </w:r>
      <w:proofErr w:type="spellEnd"/>
      <w:r w:rsidRPr="00F029EF">
        <w:rPr>
          <w:rFonts w:ascii="Calibri" w:hAnsi="Calibri"/>
          <w:i/>
          <w:color w:val="444444"/>
          <w:shd w:val="clear" w:color="auto" w:fill="FFFFFF"/>
        </w:rPr>
        <w:t>»</w:t>
      </w:r>
      <w:r>
        <w:rPr>
          <w:rFonts w:ascii="Calibri" w:hAnsi="Calibri"/>
          <w:color w:val="444444"/>
          <w:shd w:val="clear" w:color="auto" w:fill="FFFFFF"/>
        </w:rPr>
        <w:t xml:space="preserve"> να παραπέμπουν προδικαστικά ερωτήματα αποδέχτηκε σταδιακά χαλάρωση της ανωτέρω υποχρέωσης.</w:t>
      </w:r>
      <w:r w:rsidRPr="00781A54">
        <w:rPr>
          <w:rFonts w:ascii="Calibri" w:hAnsi="Calibri"/>
          <w:color w:val="444444"/>
          <w:shd w:val="clear" w:color="auto" w:fill="FFFFFF"/>
        </w:rPr>
        <w:t xml:space="preserve"> </w:t>
      </w:r>
      <w:r>
        <w:rPr>
          <w:rFonts w:ascii="Calibri" w:hAnsi="Calibri"/>
          <w:color w:val="444444"/>
          <w:shd w:val="clear" w:color="auto" w:fill="FFFFFF"/>
        </w:rPr>
        <w:t>Έτσι, τα δικαστήρια αυτά μπορούν να μην παραπέμπουν στις εξής περιπτώσεις</w:t>
      </w:r>
      <w:r w:rsidRPr="00AF3974">
        <w:rPr>
          <w:rFonts w:ascii="Calibri" w:hAnsi="Calibri"/>
          <w:color w:val="444444"/>
          <w:shd w:val="clear" w:color="auto" w:fill="FFFFFF"/>
        </w:rPr>
        <w:t>: (</w:t>
      </w:r>
      <w:r>
        <w:rPr>
          <w:rFonts w:ascii="Calibri" w:hAnsi="Calibri"/>
          <w:color w:val="444444"/>
          <w:shd w:val="clear" w:color="auto" w:fill="FFFFFF"/>
        </w:rPr>
        <w:t>α) όταν δ</w:t>
      </w:r>
      <w:r w:rsidRPr="00AF3974">
        <w:rPr>
          <w:rFonts w:ascii="Calibri" w:hAnsi="Calibri"/>
          <w:bCs/>
          <w:color w:val="444444"/>
          <w:shd w:val="clear" w:color="auto" w:fill="FFFFFF"/>
        </w:rPr>
        <w:t xml:space="preserve">ικάζουν στο πλαίσιο </w:t>
      </w:r>
      <w:r w:rsidRPr="00AF3974">
        <w:rPr>
          <w:rFonts w:ascii="Calibri" w:hAnsi="Calibri"/>
          <w:bCs/>
          <w:color w:val="444444"/>
          <w:shd w:val="clear" w:color="auto" w:fill="FFFFFF"/>
        </w:rPr>
        <w:lastRenderedPageBreak/>
        <w:t>διαδικασία ασφαλιστικών μέτρων</w:t>
      </w:r>
      <w:r>
        <w:rPr>
          <w:rFonts w:ascii="Calibri" w:hAnsi="Calibri"/>
          <w:bCs/>
          <w:color w:val="444444"/>
          <w:shd w:val="clear" w:color="auto" w:fill="FFFFFF"/>
        </w:rPr>
        <w:t xml:space="preserve"> </w:t>
      </w:r>
      <w:r w:rsidRPr="00781A54">
        <w:rPr>
          <w:rFonts w:asciiTheme="minorHAnsi" w:hAnsiTheme="minorHAnsi"/>
          <w:bCs/>
          <w:color w:val="444444"/>
          <w:shd w:val="clear" w:color="auto" w:fill="FFFFFF"/>
        </w:rPr>
        <w:t xml:space="preserve">(ΔΕΚ, </w:t>
      </w:r>
      <w:r w:rsidRPr="00781A54">
        <w:rPr>
          <w:rFonts w:asciiTheme="minorHAnsi" w:hAnsiTheme="minorHAnsi"/>
        </w:rPr>
        <w:t xml:space="preserve">143/88 και 92/89 </w:t>
      </w:r>
      <w:proofErr w:type="spellStart"/>
      <w:r w:rsidRPr="00781A54">
        <w:rPr>
          <w:rFonts w:asciiTheme="minorHAnsi" w:hAnsiTheme="minorHAnsi"/>
        </w:rPr>
        <w:t>Zuckerfabrik</w:t>
      </w:r>
      <w:proofErr w:type="spellEnd"/>
      <w:r w:rsidRPr="00781A54">
        <w:rPr>
          <w:rFonts w:asciiTheme="minorHAnsi" w:hAnsiTheme="minorHAnsi"/>
        </w:rPr>
        <w:t xml:space="preserve"> </w:t>
      </w:r>
      <w:proofErr w:type="spellStart"/>
      <w:r w:rsidRPr="00781A54">
        <w:rPr>
          <w:rFonts w:asciiTheme="minorHAnsi" w:hAnsiTheme="minorHAnsi"/>
        </w:rPr>
        <w:t>Süderdithmarschen</w:t>
      </w:r>
      <w:proofErr w:type="spellEnd"/>
      <w:r w:rsidRPr="00781A54">
        <w:rPr>
          <w:rFonts w:asciiTheme="minorHAnsi" w:hAnsiTheme="minorHAnsi"/>
        </w:rPr>
        <w:t xml:space="preserve"> AG κα)</w:t>
      </w:r>
      <w:r w:rsidRPr="00781A54">
        <w:rPr>
          <w:rFonts w:asciiTheme="minorHAnsi" w:hAnsiTheme="minorHAnsi"/>
          <w:color w:val="444444"/>
          <w:shd w:val="clear" w:color="auto" w:fill="FFFFFF"/>
        </w:rPr>
        <w:t>, (β) όταν τ</w:t>
      </w:r>
      <w:r w:rsidRPr="00781A54">
        <w:rPr>
          <w:rFonts w:asciiTheme="minorHAnsi" w:hAnsiTheme="minorHAnsi"/>
          <w:bCs/>
          <w:color w:val="444444"/>
          <w:shd w:val="clear" w:color="auto" w:fill="FFFFFF"/>
        </w:rPr>
        <w:t>ο ζήτημα</w:t>
      </w:r>
      <w:r w:rsidRPr="00781A54">
        <w:rPr>
          <w:rFonts w:asciiTheme="minorHAnsi" w:eastAsia="+mn-ea" w:hAnsiTheme="minorHAnsi" w:cs="+mn-cs"/>
          <w:b/>
          <w:bCs/>
          <w:color w:val="000000"/>
        </w:rPr>
        <w:t xml:space="preserve"> </w:t>
      </w:r>
      <w:r w:rsidRPr="00781A54">
        <w:rPr>
          <w:rFonts w:asciiTheme="minorHAnsi" w:hAnsiTheme="minorHAnsi"/>
          <w:bCs/>
          <w:color w:val="444444"/>
          <w:shd w:val="clear" w:color="auto" w:fill="FFFFFF"/>
        </w:rPr>
        <w:t xml:space="preserve">είναι </w:t>
      </w:r>
      <w:r w:rsidRPr="00781A54">
        <w:rPr>
          <w:rFonts w:asciiTheme="minorHAnsi" w:hAnsiTheme="minorHAnsi"/>
          <w:bCs/>
          <w:i/>
          <w:iCs/>
          <w:color w:val="444444"/>
          <w:shd w:val="clear" w:color="auto" w:fill="FFFFFF"/>
        </w:rPr>
        <w:t>«κατ’ ουσία ταυτόσημο»</w:t>
      </w:r>
      <w:r w:rsidRPr="00781A54">
        <w:rPr>
          <w:rFonts w:asciiTheme="minorHAnsi" w:hAnsiTheme="minorHAnsi"/>
          <w:bCs/>
          <w:color w:val="444444"/>
          <w:shd w:val="clear" w:color="auto" w:fill="FFFFFF"/>
        </w:rPr>
        <w:t xml:space="preserve"> με ζήτημα που έχει ήδη αντιμετωπισθεί από τη νομολογία του ΔΕΕ (ΔΕΚ, 28,32/62 </w:t>
      </w:r>
      <w:r w:rsidRPr="00781A54">
        <w:rPr>
          <w:rFonts w:asciiTheme="minorHAnsi" w:hAnsiTheme="minorHAnsi"/>
          <w:bCs/>
          <w:color w:val="444444"/>
          <w:shd w:val="clear" w:color="auto" w:fill="FFFFFF"/>
          <w:lang w:val="en-US"/>
        </w:rPr>
        <w:t>Da</w:t>
      </w:r>
      <w:r w:rsidRPr="00781A54">
        <w:rPr>
          <w:rFonts w:asciiTheme="minorHAnsi" w:hAnsiTheme="minorHAnsi"/>
          <w:bCs/>
          <w:color w:val="444444"/>
          <w:shd w:val="clear" w:color="auto" w:fill="FFFFFF"/>
        </w:rPr>
        <w:t xml:space="preserve"> </w:t>
      </w:r>
      <w:r w:rsidRPr="00781A54">
        <w:rPr>
          <w:rFonts w:asciiTheme="minorHAnsi" w:hAnsiTheme="minorHAnsi"/>
          <w:bCs/>
          <w:color w:val="444444"/>
          <w:shd w:val="clear" w:color="auto" w:fill="FFFFFF"/>
          <w:lang w:val="en-US"/>
        </w:rPr>
        <w:t>Costa</w:t>
      </w:r>
      <w:r w:rsidRPr="00781A54">
        <w:rPr>
          <w:rFonts w:asciiTheme="minorHAnsi" w:hAnsiTheme="minorHAnsi"/>
          <w:bCs/>
          <w:color w:val="444444"/>
          <w:shd w:val="clear" w:color="auto" w:fill="FFFFFF"/>
        </w:rPr>
        <w:t>)</w:t>
      </w:r>
      <w:r w:rsidRPr="00781A54">
        <w:rPr>
          <w:rFonts w:asciiTheme="minorHAnsi" w:hAnsiTheme="minorHAnsi"/>
          <w:color w:val="444444"/>
          <w:shd w:val="clear" w:color="auto" w:fill="FFFFFF"/>
        </w:rPr>
        <w:t xml:space="preserve"> (γ) όταν </w:t>
      </w:r>
      <w:r w:rsidRPr="00781A54">
        <w:rPr>
          <w:rFonts w:asciiTheme="minorHAnsi" w:hAnsiTheme="minorHAnsi"/>
          <w:bCs/>
          <w:color w:val="444444"/>
          <w:shd w:val="clear" w:color="auto" w:fill="FFFFFF"/>
        </w:rPr>
        <w:t xml:space="preserve">το ανακύψαν ζήτημα δεν είναι ουσιώδες και, τέλος, (δ) όταν η ορθή εφαρμογή τού </w:t>
      </w:r>
      <w:proofErr w:type="spellStart"/>
      <w:r w:rsidRPr="00781A54">
        <w:rPr>
          <w:rFonts w:asciiTheme="minorHAnsi" w:hAnsiTheme="minorHAnsi"/>
          <w:bCs/>
          <w:color w:val="444444"/>
          <w:shd w:val="clear" w:color="auto" w:fill="FFFFFF"/>
        </w:rPr>
        <w:t>ενωσιακού</w:t>
      </w:r>
      <w:proofErr w:type="spellEnd"/>
      <w:r w:rsidRPr="00781A54">
        <w:rPr>
          <w:rFonts w:asciiTheme="minorHAnsi" w:hAnsiTheme="minorHAnsi"/>
          <w:bCs/>
          <w:color w:val="444444"/>
          <w:shd w:val="clear" w:color="auto" w:fill="FFFFFF"/>
        </w:rPr>
        <w:t xml:space="preserve"> δικαίου παρίσταται τόσο προφανής , ώστε να μην αφήνει περιθώριο για καμία εύλογη αμφιβολία (ΔΕΚ, 283/81 </w:t>
      </w:r>
      <w:r w:rsidRPr="00781A54">
        <w:rPr>
          <w:rFonts w:asciiTheme="minorHAnsi" w:hAnsiTheme="minorHAnsi"/>
          <w:bCs/>
          <w:color w:val="444444"/>
          <w:shd w:val="clear" w:color="auto" w:fill="FFFFFF"/>
          <w:lang w:val="en-US"/>
        </w:rPr>
        <w:t>CILFIT</w:t>
      </w:r>
      <w:r w:rsidRPr="00781A54">
        <w:rPr>
          <w:rFonts w:asciiTheme="minorHAnsi" w:hAnsiTheme="minorHAnsi"/>
          <w:bCs/>
          <w:color w:val="444444"/>
          <w:shd w:val="clear" w:color="auto" w:fill="FFFFFF"/>
        </w:rPr>
        <w:t>).</w:t>
      </w:r>
    </w:p>
    <w:p w:rsidR="00971895" w:rsidRDefault="00971895" w:rsidP="00971895">
      <w:pPr>
        <w:tabs>
          <w:tab w:val="num" w:pos="720"/>
        </w:tabs>
        <w:spacing w:line="360" w:lineRule="auto"/>
        <w:jc w:val="both"/>
        <w:rPr>
          <w:rFonts w:ascii="Calibri" w:hAnsi="Calibri"/>
          <w:color w:val="444444"/>
          <w:shd w:val="clear" w:color="auto" w:fill="FFFFFF"/>
        </w:rPr>
      </w:pPr>
      <w:r>
        <w:rPr>
          <w:rFonts w:ascii="Calibri" w:hAnsi="Calibri"/>
          <w:color w:val="444444"/>
          <w:shd w:val="clear" w:color="auto" w:fill="FFFFFF"/>
        </w:rPr>
        <w:t xml:space="preserve"> </w:t>
      </w:r>
    </w:p>
    <w:p w:rsidR="00971895" w:rsidRDefault="00971895" w:rsidP="00971895">
      <w:pPr>
        <w:tabs>
          <w:tab w:val="num" w:pos="720"/>
        </w:tabs>
        <w:spacing w:line="360" w:lineRule="auto"/>
        <w:jc w:val="both"/>
        <w:rPr>
          <w:rFonts w:ascii="Calibri" w:hAnsi="Calibri"/>
          <w:color w:val="444444"/>
          <w:shd w:val="clear" w:color="auto" w:fill="FFFFFF"/>
        </w:rPr>
      </w:pPr>
      <w:r w:rsidRPr="00AF3974">
        <w:rPr>
          <w:rFonts w:ascii="Calibri" w:hAnsi="Calibri"/>
          <w:bCs/>
          <w:color w:val="444444"/>
          <w:shd w:val="clear" w:color="auto" w:fill="FFFFFF"/>
        </w:rPr>
        <w:t xml:space="preserve">Εξάλλου, σύμφωνα με το άρθρο </w:t>
      </w:r>
      <w:r>
        <w:rPr>
          <w:rFonts w:ascii="Calibri" w:hAnsi="Calibri"/>
          <w:bCs/>
          <w:color w:val="444444"/>
          <w:shd w:val="clear" w:color="auto" w:fill="FFFFFF"/>
        </w:rPr>
        <w:t xml:space="preserve">260 ΣΛΕΕ </w:t>
      </w:r>
      <w:r w:rsidRPr="00AF3974">
        <w:rPr>
          <w:rFonts w:ascii="Calibri" w:hAnsi="Calibri"/>
          <w:bCs/>
          <w:i/>
          <w:color w:val="444444"/>
          <w:shd w:val="clear" w:color="auto" w:fill="FFFFFF"/>
        </w:rPr>
        <w:t>«</w:t>
      </w:r>
      <w:r w:rsidRPr="00AF3974">
        <w:rPr>
          <w:rFonts w:ascii="Calibri" w:hAnsi="Calibri"/>
          <w:i/>
          <w:color w:val="444444"/>
          <w:shd w:val="clear" w:color="auto" w:fill="FFFFFF"/>
        </w:rPr>
        <w:t>Εάν το Δικαστήριο της Ευρωπαϊκής Ένωσης διαπιστώσει ότι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w:t>
      </w:r>
      <w:r>
        <w:rPr>
          <w:rFonts w:ascii="Calibri" w:hAnsi="Calibri"/>
          <w:i/>
          <w:color w:val="444444"/>
          <w:shd w:val="clear" w:color="auto" w:fill="FFFFFF"/>
        </w:rPr>
        <w:t>»</w:t>
      </w:r>
      <w:r w:rsidRPr="00AF3974">
        <w:rPr>
          <w:rFonts w:ascii="Calibri" w:hAnsi="Calibri"/>
          <w:i/>
          <w:color w:val="444444"/>
          <w:shd w:val="clear" w:color="auto" w:fill="FFFFFF"/>
        </w:rPr>
        <w:t>.</w:t>
      </w:r>
      <w:r>
        <w:rPr>
          <w:rFonts w:ascii="Calibri" w:hAnsi="Calibri"/>
          <w:i/>
          <w:color w:val="444444"/>
          <w:shd w:val="clear" w:color="auto" w:fill="FFFFFF"/>
        </w:rPr>
        <w:t xml:space="preserve"> </w:t>
      </w:r>
      <w:r>
        <w:rPr>
          <w:rFonts w:ascii="Calibri" w:hAnsi="Calibri"/>
          <w:color w:val="444444"/>
          <w:shd w:val="clear" w:color="auto" w:fill="FFFFFF"/>
        </w:rPr>
        <w:t xml:space="preserve">Η υποχρέωση συμμόρφωσης του Κράτους, κατά την παραπάνω διάταξη, καταλαμβάνει όλα τα κρατικά όργανα συμπεριλαμβανομένων και των δικαστηρίων. Η τήρηση της υποχρέωσης αυτής ελέγχεται από το Δικαστήριο μετά από άσκηση προσφυγής για παράβαση από την Επιτροπή </w:t>
      </w:r>
      <w:r w:rsidRPr="00C60872">
        <w:rPr>
          <w:rFonts w:ascii="Calibri" w:hAnsi="Calibri"/>
        </w:rPr>
        <w:t xml:space="preserve">(ΔΕΚ, C-46/93 και C-48/93, </w:t>
      </w:r>
      <w:proofErr w:type="spellStart"/>
      <w:r w:rsidRPr="00C60872">
        <w:rPr>
          <w:rFonts w:ascii="Calibri" w:hAnsi="Calibri"/>
        </w:rPr>
        <w:t>Brasserie</w:t>
      </w:r>
      <w:proofErr w:type="spellEnd"/>
      <w:r w:rsidRPr="00C60872">
        <w:rPr>
          <w:rFonts w:ascii="Calibri" w:hAnsi="Calibri"/>
        </w:rPr>
        <w:t xml:space="preserve"> </w:t>
      </w:r>
      <w:proofErr w:type="spellStart"/>
      <w:r w:rsidRPr="00C60872">
        <w:rPr>
          <w:rFonts w:ascii="Calibri" w:hAnsi="Calibri"/>
        </w:rPr>
        <w:t>du</w:t>
      </w:r>
      <w:proofErr w:type="spellEnd"/>
      <w:r w:rsidRPr="00C60872">
        <w:rPr>
          <w:rFonts w:ascii="Calibri" w:hAnsi="Calibri"/>
        </w:rPr>
        <w:t xml:space="preserve"> </w:t>
      </w:r>
      <w:proofErr w:type="spellStart"/>
      <w:r w:rsidRPr="00C60872">
        <w:rPr>
          <w:rFonts w:ascii="Calibri" w:hAnsi="Calibri"/>
        </w:rPr>
        <w:t>pêcheur</w:t>
      </w:r>
      <w:proofErr w:type="spellEnd"/>
      <w:r w:rsidRPr="00C60872">
        <w:rPr>
          <w:rFonts w:ascii="Calibri" w:hAnsi="Calibri"/>
        </w:rPr>
        <w:t xml:space="preserve"> και </w:t>
      </w:r>
      <w:proofErr w:type="spellStart"/>
      <w:r w:rsidRPr="00C60872">
        <w:rPr>
          <w:rFonts w:ascii="Calibri" w:hAnsi="Calibri"/>
        </w:rPr>
        <w:t>Factortame</w:t>
      </w:r>
      <w:proofErr w:type="spellEnd"/>
      <w:r w:rsidRPr="00C60872">
        <w:rPr>
          <w:rFonts w:ascii="Calibri" w:hAnsi="Calibri"/>
        </w:rPr>
        <w:t>).</w:t>
      </w:r>
    </w:p>
    <w:p w:rsidR="00971895" w:rsidRDefault="00971895" w:rsidP="00971895">
      <w:pPr>
        <w:tabs>
          <w:tab w:val="num" w:pos="720"/>
        </w:tabs>
        <w:spacing w:line="360" w:lineRule="auto"/>
        <w:jc w:val="both"/>
        <w:rPr>
          <w:rFonts w:ascii="Calibri" w:hAnsi="Calibri"/>
          <w:color w:val="444444"/>
          <w:shd w:val="clear" w:color="auto" w:fill="FFFFFF"/>
        </w:rPr>
      </w:pPr>
    </w:p>
    <w:p w:rsidR="00971895" w:rsidRPr="008714DE" w:rsidRDefault="00971895" w:rsidP="00971895">
      <w:pPr>
        <w:tabs>
          <w:tab w:val="num" w:pos="720"/>
        </w:tabs>
        <w:spacing w:line="360" w:lineRule="auto"/>
        <w:jc w:val="both"/>
        <w:rPr>
          <w:rFonts w:ascii="Calibri" w:hAnsi="Calibri"/>
          <w:color w:val="444444"/>
          <w:shd w:val="clear" w:color="auto" w:fill="FFFFFF"/>
        </w:rPr>
      </w:pPr>
      <w:r w:rsidRPr="00E07BEF">
        <w:rPr>
          <w:rFonts w:ascii="Calibri" w:hAnsi="Calibri"/>
          <w:bCs/>
          <w:color w:val="444444"/>
          <w:shd w:val="clear" w:color="auto" w:fill="FFFFFF"/>
        </w:rPr>
        <w:t xml:space="preserve">Στην υπόθεση </w:t>
      </w:r>
      <w:r w:rsidRPr="00E07BEF">
        <w:rPr>
          <w:rFonts w:ascii="Calibri" w:hAnsi="Calibri"/>
          <w:bCs/>
          <w:i/>
          <w:iCs/>
          <w:color w:val="444444"/>
          <w:shd w:val="clear" w:color="auto" w:fill="FFFFFF"/>
          <w:lang w:val="en-US"/>
        </w:rPr>
        <w:t>C</w:t>
      </w:r>
      <w:r w:rsidRPr="00E07BEF">
        <w:rPr>
          <w:rFonts w:ascii="Calibri" w:hAnsi="Calibri"/>
          <w:bCs/>
          <w:i/>
          <w:iCs/>
          <w:color w:val="444444"/>
          <w:shd w:val="clear" w:color="auto" w:fill="FFFFFF"/>
        </w:rPr>
        <w:t xml:space="preserve">-224/01 </w:t>
      </w:r>
      <w:r>
        <w:rPr>
          <w:rFonts w:ascii="Calibri" w:hAnsi="Calibri"/>
          <w:bCs/>
          <w:i/>
          <w:iCs/>
          <w:color w:val="444444"/>
          <w:shd w:val="clear" w:color="auto" w:fill="FFFFFF"/>
          <w:lang w:val="en-US"/>
        </w:rPr>
        <w:t>K</w:t>
      </w:r>
      <w:r w:rsidRPr="00E07BEF">
        <w:rPr>
          <w:rFonts w:ascii="Calibri" w:hAnsi="Calibri"/>
          <w:bCs/>
          <w:i/>
          <w:iCs/>
          <w:color w:val="444444"/>
          <w:shd w:val="clear" w:color="auto" w:fill="FFFFFF"/>
        </w:rPr>
        <w:t>ö</w:t>
      </w:r>
      <w:r w:rsidRPr="00E07BEF">
        <w:rPr>
          <w:rFonts w:ascii="Calibri" w:hAnsi="Calibri"/>
          <w:bCs/>
          <w:i/>
          <w:iCs/>
          <w:color w:val="444444"/>
          <w:shd w:val="clear" w:color="auto" w:fill="FFFFFF"/>
          <w:lang w:val="en-US"/>
        </w:rPr>
        <w:t>bler</w:t>
      </w:r>
      <w:r w:rsidRPr="00E07BEF">
        <w:rPr>
          <w:rFonts w:ascii="Calibri" w:hAnsi="Calibri"/>
          <w:i/>
          <w:iCs/>
          <w:color w:val="444444"/>
          <w:shd w:val="clear" w:color="auto" w:fill="FFFFFF"/>
        </w:rPr>
        <w:t xml:space="preserve"> </w:t>
      </w:r>
      <w:r w:rsidRPr="00E07BEF">
        <w:rPr>
          <w:rFonts w:ascii="Calibri" w:hAnsi="Calibri"/>
          <w:color w:val="444444"/>
          <w:shd w:val="clear" w:color="auto" w:fill="FFFFFF"/>
        </w:rPr>
        <w:t xml:space="preserve">το ΔΕΕ δέχτηκε ότι τα Κράτη-μέλη ευθύνονται σε </w:t>
      </w:r>
      <w:r w:rsidRPr="00E07BEF">
        <w:rPr>
          <w:rFonts w:ascii="Calibri" w:hAnsi="Calibri"/>
          <w:bCs/>
          <w:color w:val="444444"/>
          <w:shd w:val="clear" w:color="auto" w:fill="FFFFFF"/>
        </w:rPr>
        <w:t>αποκατάσταση της ζημίας</w:t>
      </w:r>
      <w:r>
        <w:rPr>
          <w:rFonts w:ascii="Calibri" w:hAnsi="Calibri"/>
          <w:bCs/>
          <w:color w:val="444444"/>
          <w:shd w:val="clear" w:color="auto" w:fill="FFFFFF"/>
        </w:rPr>
        <w:t>,</w:t>
      </w:r>
      <w:r w:rsidRPr="00E07BEF">
        <w:rPr>
          <w:rFonts w:ascii="Calibri" w:hAnsi="Calibri"/>
          <w:bCs/>
          <w:color w:val="444444"/>
          <w:shd w:val="clear" w:color="auto" w:fill="FFFFFF"/>
        </w:rPr>
        <w:t xml:space="preserve"> που προκαλείται στους ιδιώτες από αντίθετες με το ενωσιακό δίκαιο δικαστικές αποφάσεις των ανωτάτων εθνικών δικαστηρίων, ειδικά στην περίπτωση που αυτά οδηγήθηκαν στην αντίθετη με το ενωσιακό δίκαιο απόφαση χωρίς να παραπέμψουν ή αγνοώντας τη νομολογία του ΔΕΕ. </w:t>
      </w:r>
      <w:r>
        <w:rPr>
          <w:rFonts w:ascii="Calibri" w:hAnsi="Calibri"/>
          <w:color w:val="444444"/>
          <w:shd w:val="clear" w:color="auto" w:fill="FFFFFF"/>
        </w:rPr>
        <w:t xml:space="preserve">Κατ’ ουσία με την ανωτέρω απόφασή του το Δικαστήριο και παρά το συνταγματικό καθεστώς ανεξαρτησίας που απολαμβάνουν τα εθνικά δικαστήρια επέκτεινε την προαναφερθείσα νομολογία </w:t>
      </w:r>
      <w:r w:rsidRPr="00C60872">
        <w:rPr>
          <w:rFonts w:ascii="Calibri" w:hAnsi="Calibri"/>
          <w:lang w:val="en-US"/>
        </w:rPr>
        <w:t>Francovich</w:t>
      </w:r>
      <w:r>
        <w:rPr>
          <w:rFonts w:ascii="Calibri" w:hAnsi="Calibri"/>
        </w:rPr>
        <w:t>,</w:t>
      </w:r>
      <w:r w:rsidRPr="00E07BEF">
        <w:rPr>
          <w:rFonts w:ascii="Calibri" w:hAnsi="Calibri"/>
          <w:color w:val="444444"/>
          <w:shd w:val="clear" w:color="auto" w:fill="FFFFFF"/>
        </w:rPr>
        <w:t xml:space="preserve"> </w:t>
      </w:r>
      <w:r>
        <w:rPr>
          <w:rFonts w:ascii="Calibri" w:hAnsi="Calibri"/>
          <w:color w:val="444444"/>
          <w:shd w:val="clear" w:color="auto" w:fill="FFFFFF"/>
        </w:rPr>
        <w:t>για την ευθύνη των Κρατών-μελών να αποκαθιστούν τις ζημίες που προξενούν παραβιάζοντας το ενωσιακό δίκαιο κρατικά όργανα και υπάλληλοι</w:t>
      </w:r>
      <w:r w:rsidRPr="00E07BEF">
        <w:rPr>
          <w:rFonts w:ascii="Calibri" w:hAnsi="Calibri"/>
          <w:color w:val="444444"/>
          <w:shd w:val="clear" w:color="auto" w:fill="FFFFFF"/>
        </w:rPr>
        <w:t xml:space="preserve"> </w:t>
      </w:r>
      <w:r>
        <w:rPr>
          <w:rFonts w:ascii="Calibri" w:hAnsi="Calibri"/>
          <w:color w:val="444444"/>
          <w:shd w:val="clear" w:color="auto" w:fill="FFFFFF"/>
        </w:rPr>
        <w:t xml:space="preserve">κατά την άσκηση των καθηκόντων τους, και στα εθνικά δικαστήρια, ιδιαίτερα στα ανώτατα. </w:t>
      </w:r>
    </w:p>
    <w:p w:rsidR="00D67AED" w:rsidRDefault="00D67AED" w:rsidP="00D67AED">
      <w:pPr>
        <w:spacing w:line="360" w:lineRule="auto"/>
        <w:jc w:val="both"/>
        <w:rPr>
          <w:rFonts w:asciiTheme="minorHAnsi" w:eastAsiaTheme="minorHAnsi" w:hAnsiTheme="minorHAnsi" w:cstheme="minorHAnsi"/>
          <w:sz w:val="22"/>
          <w:szCs w:val="22"/>
          <w:lang w:eastAsia="en-US"/>
        </w:rPr>
      </w:pPr>
    </w:p>
    <w:p w:rsidR="00D67AED" w:rsidRPr="00D67AED" w:rsidRDefault="00D67AED" w:rsidP="00D67AED">
      <w:pPr>
        <w:spacing w:line="360" w:lineRule="auto"/>
        <w:jc w:val="both"/>
        <w:rPr>
          <w:rFonts w:asciiTheme="minorHAnsi" w:eastAsiaTheme="minorHAnsi" w:hAnsiTheme="minorHAnsi" w:cstheme="minorHAnsi"/>
          <w:lang w:eastAsia="en-US"/>
        </w:rPr>
      </w:pPr>
      <w:r w:rsidRPr="00D67AED">
        <w:rPr>
          <w:rFonts w:asciiTheme="minorHAnsi" w:eastAsiaTheme="minorHAnsi" w:hAnsiTheme="minorHAnsi" w:cstheme="minorHAnsi"/>
          <w:lang w:eastAsia="en-US"/>
        </w:rPr>
        <w:t xml:space="preserve">Η Συνθήκη αναγνωρίζει την </w:t>
      </w:r>
      <w:r w:rsidRPr="00D67AED">
        <w:rPr>
          <w:rFonts w:asciiTheme="minorHAnsi" w:eastAsiaTheme="minorHAnsi" w:hAnsiTheme="minorHAnsi" w:cstheme="minorHAnsi"/>
          <w:bCs/>
          <w:lang w:eastAsia="en-US"/>
        </w:rPr>
        <w:t>αποκλειστική αρμοδιότητα</w:t>
      </w:r>
      <w:r w:rsidRPr="00D67AED">
        <w:rPr>
          <w:rFonts w:asciiTheme="minorHAnsi" w:eastAsiaTheme="minorHAnsi" w:hAnsiTheme="minorHAnsi" w:cstheme="minorHAnsi"/>
          <w:lang w:eastAsia="en-US"/>
        </w:rPr>
        <w:t xml:space="preserve"> υποβολής στο ΔΕΕ προδικαστικών ερωτημάτων στα </w:t>
      </w:r>
      <w:r w:rsidRPr="00D67AED">
        <w:rPr>
          <w:rFonts w:asciiTheme="minorHAnsi" w:eastAsiaTheme="minorHAnsi" w:hAnsiTheme="minorHAnsi" w:cstheme="minorHAnsi"/>
          <w:bCs/>
          <w:lang w:eastAsia="en-US"/>
        </w:rPr>
        <w:t xml:space="preserve">Δικαστήρια των Κρατών-μελών, ανεξάρτητα από τη δικαιοδοσία τους (πολιτικά, διοικητικά, ποινικά κα). Η έννοια του </w:t>
      </w:r>
      <w:r w:rsidRPr="00D67AED">
        <w:rPr>
          <w:rFonts w:asciiTheme="minorHAnsi" w:eastAsiaTheme="minorHAnsi" w:hAnsiTheme="minorHAnsi" w:cstheme="minorHAnsi"/>
          <w:bCs/>
          <w:i/>
          <w:iCs/>
          <w:lang w:eastAsia="en-US"/>
        </w:rPr>
        <w:t>«Δικαστηρίου Κράτους-μέλους»</w:t>
      </w:r>
      <w:r w:rsidRPr="00D67AED">
        <w:rPr>
          <w:rFonts w:asciiTheme="minorHAnsi" w:eastAsiaTheme="minorHAnsi" w:hAnsiTheme="minorHAnsi" w:cstheme="minorHAnsi"/>
          <w:bCs/>
          <w:iCs/>
          <w:lang w:eastAsia="en-US"/>
        </w:rPr>
        <w:t>,</w:t>
      </w:r>
      <w:r w:rsidRPr="00D67AED">
        <w:rPr>
          <w:rFonts w:asciiTheme="minorHAnsi" w:eastAsiaTheme="minorHAnsi" w:hAnsiTheme="minorHAnsi" w:cstheme="minorHAnsi"/>
          <w:bCs/>
          <w:lang w:eastAsia="en-US"/>
        </w:rPr>
        <w:t xml:space="preserve"> στο βαθμό που προβλέπεται από τη Συνθήκη αποτελεί έννοια του </w:t>
      </w:r>
      <w:proofErr w:type="spellStart"/>
      <w:r w:rsidRPr="00D67AED">
        <w:rPr>
          <w:rFonts w:asciiTheme="minorHAnsi" w:eastAsiaTheme="minorHAnsi" w:hAnsiTheme="minorHAnsi" w:cstheme="minorHAnsi"/>
          <w:bCs/>
          <w:lang w:eastAsia="en-US"/>
        </w:rPr>
        <w:lastRenderedPageBreak/>
        <w:t>ενωσιακού</w:t>
      </w:r>
      <w:proofErr w:type="spellEnd"/>
      <w:r w:rsidRPr="00D67AED">
        <w:rPr>
          <w:rFonts w:asciiTheme="minorHAnsi" w:eastAsiaTheme="minorHAnsi" w:hAnsiTheme="minorHAnsi" w:cstheme="minorHAnsi"/>
          <w:bCs/>
          <w:lang w:eastAsia="en-US"/>
        </w:rPr>
        <w:t xml:space="preserve"> δικαίου και ερμηνεύεται αυθεντικά από το ΔΕΕ, το οποίο όμως βασίζεται στις κοινές νομικές παραδόσεις των Κρατών-μελών κατά τη διαμόρφωση της έννοιας του  </w:t>
      </w:r>
      <w:r w:rsidRPr="00D67AED">
        <w:rPr>
          <w:rFonts w:asciiTheme="minorHAnsi" w:eastAsiaTheme="minorHAnsi" w:hAnsiTheme="minorHAnsi" w:cstheme="minorHAnsi"/>
          <w:bCs/>
          <w:i/>
          <w:iCs/>
          <w:lang w:eastAsia="en-US"/>
        </w:rPr>
        <w:t>«Δικαστηρίου Κράτους-μέλους».</w:t>
      </w:r>
      <w:r w:rsidRPr="00D67AED">
        <w:rPr>
          <w:rFonts w:asciiTheme="minorHAnsi" w:eastAsiaTheme="minorHAnsi" w:hAnsiTheme="minorHAnsi" w:cstheme="minorHAnsi"/>
          <w:bCs/>
          <w:iCs/>
          <w:lang w:eastAsia="en-US"/>
        </w:rPr>
        <w:t xml:space="preserve"> Κατά τη σταθερή νομολογία του Δικαστηρίου (ΔΕΚ, 61/65 </w:t>
      </w:r>
      <w:r w:rsidRPr="00D67AED">
        <w:rPr>
          <w:rFonts w:asciiTheme="minorHAnsi" w:eastAsiaTheme="minorHAnsi" w:hAnsiTheme="minorHAnsi" w:cstheme="minorHAnsi"/>
          <w:bCs/>
          <w:iCs/>
          <w:lang w:val="en-US" w:eastAsia="en-US"/>
        </w:rPr>
        <w:t>Vaassen</w:t>
      </w:r>
      <w:r w:rsidRPr="00D67AED">
        <w:rPr>
          <w:rFonts w:asciiTheme="minorHAnsi" w:eastAsiaTheme="minorHAnsi" w:hAnsiTheme="minorHAnsi" w:cstheme="minorHAnsi"/>
          <w:bCs/>
          <w:iCs/>
          <w:lang w:eastAsia="en-US"/>
        </w:rPr>
        <w:t xml:space="preserve"> </w:t>
      </w:r>
      <w:r w:rsidRPr="00D67AED">
        <w:rPr>
          <w:rFonts w:asciiTheme="minorHAnsi" w:eastAsiaTheme="minorHAnsi" w:hAnsiTheme="minorHAnsi" w:cstheme="minorHAnsi"/>
          <w:bCs/>
          <w:iCs/>
          <w:lang w:val="en-US" w:eastAsia="en-US"/>
        </w:rPr>
        <w:t>G</w:t>
      </w:r>
      <w:r w:rsidRPr="00D67AED">
        <w:rPr>
          <w:rFonts w:asciiTheme="minorHAnsi" w:eastAsiaTheme="minorHAnsi" w:hAnsiTheme="minorHAnsi" w:cstheme="minorHAnsi"/>
          <w:bCs/>
          <w:iCs/>
          <w:lang w:eastAsia="en-US"/>
        </w:rPr>
        <w:t>ö</w:t>
      </w:r>
      <w:r w:rsidRPr="00D67AED">
        <w:rPr>
          <w:rFonts w:asciiTheme="minorHAnsi" w:eastAsiaTheme="minorHAnsi" w:hAnsiTheme="minorHAnsi" w:cstheme="minorHAnsi"/>
          <w:bCs/>
          <w:iCs/>
          <w:lang w:val="en-US" w:eastAsia="en-US"/>
        </w:rPr>
        <w:t>bbels</w:t>
      </w:r>
      <w:r w:rsidRPr="00D67AED">
        <w:rPr>
          <w:rFonts w:asciiTheme="minorHAnsi" w:eastAsiaTheme="minorHAnsi" w:hAnsiTheme="minorHAnsi" w:cstheme="minorHAnsi"/>
          <w:bCs/>
          <w:iCs/>
          <w:lang w:eastAsia="en-US"/>
        </w:rPr>
        <w:t xml:space="preserve">, ΔΕΚ, 102/81 </w:t>
      </w:r>
      <w:r w:rsidRPr="00D67AED">
        <w:rPr>
          <w:rFonts w:asciiTheme="minorHAnsi" w:eastAsiaTheme="minorHAnsi" w:hAnsiTheme="minorHAnsi" w:cstheme="minorHAnsi"/>
          <w:bCs/>
          <w:iCs/>
          <w:lang w:val="en-US" w:eastAsia="en-US"/>
        </w:rPr>
        <w:t>Nordsee</w:t>
      </w:r>
      <w:r w:rsidRPr="00D67AED">
        <w:rPr>
          <w:rFonts w:asciiTheme="minorHAnsi" w:eastAsiaTheme="minorHAnsi" w:hAnsiTheme="minorHAnsi" w:cstheme="minorHAnsi"/>
          <w:bCs/>
          <w:iCs/>
          <w:lang w:eastAsia="en-US"/>
        </w:rPr>
        <w:t xml:space="preserve">) τα στοιχεία που συγκροτούν την </w:t>
      </w:r>
      <w:proofErr w:type="spellStart"/>
      <w:r w:rsidRPr="00D67AED">
        <w:rPr>
          <w:rFonts w:asciiTheme="minorHAnsi" w:eastAsiaTheme="minorHAnsi" w:hAnsiTheme="minorHAnsi" w:cstheme="minorHAnsi"/>
          <w:bCs/>
          <w:iCs/>
          <w:lang w:eastAsia="en-US"/>
        </w:rPr>
        <w:t>ενωσιακή</w:t>
      </w:r>
      <w:proofErr w:type="spellEnd"/>
      <w:r w:rsidRPr="00D67AED">
        <w:rPr>
          <w:rFonts w:asciiTheme="minorHAnsi" w:eastAsiaTheme="minorHAnsi" w:hAnsiTheme="minorHAnsi" w:cstheme="minorHAnsi"/>
          <w:bCs/>
          <w:iCs/>
          <w:lang w:eastAsia="en-US"/>
        </w:rPr>
        <w:t xml:space="preserve"> έννοια του </w:t>
      </w:r>
      <w:r w:rsidRPr="00D67AED">
        <w:rPr>
          <w:rFonts w:asciiTheme="minorHAnsi" w:eastAsiaTheme="minorHAnsi" w:hAnsiTheme="minorHAnsi" w:cstheme="minorHAnsi"/>
          <w:bCs/>
          <w:i/>
          <w:iCs/>
          <w:lang w:eastAsia="en-US"/>
        </w:rPr>
        <w:t>«Δικαστηρίου Κράτους-μέλους»</w:t>
      </w:r>
      <w:r w:rsidRPr="00D67AED">
        <w:rPr>
          <w:rFonts w:asciiTheme="minorHAnsi" w:eastAsiaTheme="minorHAnsi" w:hAnsiTheme="minorHAnsi" w:cstheme="minorHAnsi"/>
          <w:bCs/>
          <w:iCs/>
          <w:lang w:eastAsia="en-US"/>
        </w:rPr>
        <w:t xml:space="preserve"> είναι: η ίδρυση με νόμο, η μονιμότητά του, ο δεσμευτικός (υποχρεωτικός) χαρακτήρας της δικαιοδοσίας του, ο κατ’ αντιμωλία χαρακτήρας της διαδικασίας ενώπιον του, η  εφαρμογή κανόνων δικαίου και η ανεξαρτησία του. Κατά το Δικαστήριο από το άρθρο 267 ΣΛΕΕ οι εθνικοί δικαστές έχουν την </w:t>
      </w:r>
      <w:r w:rsidRPr="00D67AED">
        <w:rPr>
          <w:rFonts w:asciiTheme="minorHAnsi" w:eastAsiaTheme="minorHAnsi" w:hAnsiTheme="minorHAnsi" w:cstheme="minorHAnsi"/>
          <w:lang w:eastAsia="en-US"/>
        </w:rPr>
        <w:t xml:space="preserve">πλέον εκτεταμένη ευχέρεια να απευθύνονται στο Δικαστήριο όταν θεωρούν ότι υπόθεση που εκκρεμεί </w:t>
      </w:r>
      <w:proofErr w:type="spellStart"/>
      <w:r w:rsidRPr="00D67AED">
        <w:rPr>
          <w:rFonts w:asciiTheme="minorHAnsi" w:eastAsiaTheme="minorHAnsi" w:hAnsiTheme="minorHAnsi" w:cstheme="minorHAnsi"/>
          <w:lang w:eastAsia="en-US"/>
        </w:rPr>
        <w:t>ενώπιόν</w:t>
      </w:r>
      <w:proofErr w:type="spellEnd"/>
      <w:r w:rsidRPr="00D67AED">
        <w:rPr>
          <w:rFonts w:asciiTheme="minorHAnsi" w:eastAsiaTheme="minorHAnsi" w:hAnsiTheme="minorHAnsi" w:cstheme="minorHAnsi"/>
          <w:lang w:eastAsia="en-US"/>
        </w:rPr>
        <w:t xml:space="preserve"> τους θέτει ζητήματα που αφορούν την ερμηνεία ή την εκτίμηση του κύρους διατάξεων του </w:t>
      </w:r>
      <w:proofErr w:type="spellStart"/>
      <w:r w:rsidRPr="00D67AED">
        <w:rPr>
          <w:rFonts w:asciiTheme="minorHAnsi" w:eastAsiaTheme="minorHAnsi" w:hAnsiTheme="minorHAnsi" w:cstheme="minorHAnsi"/>
          <w:lang w:eastAsia="en-US"/>
        </w:rPr>
        <w:t>ενωσιακού</w:t>
      </w:r>
      <w:proofErr w:type="spellEnd"/>
      <w:r w:rsidRPr="00D67AED">
        <w:rPr>
          <w:rFonts w:asciiTheme="minorHAnsi" w:eastAsiaTheme="minorHAnsi" w:hAnsiTheme="minorHAnsi" w:cstheme="minorHAnsi"/>
          <w:lang w:eastAsia="en-US"/>
        </w:rPr>
        <w:t xml:space="preserve"> δικαίου, που έχουν ανάγκη αποφάσεώς του. Έτσι προκύπτει ότι </w:t>
      </w:r>
      <w:r w:rsidRPr="00D67AED">
        <w:rPr>
          <w:rFonts w:asciiTheme="minorHAnsi" w:eastAsiaTheme="minorHAnsi" w:hAnsiTheme="minorHAnsi" w:cstheme="minorHAnsi"/>
          <w:i/>
          <w:lang w:eastAsia="en-US"/>
        </w:rPr>
        <w:t xml:space="preserve">«κανένας κανόνας του εθνικού δικαίου, ο οποίος δεσμεύει τα δικαστήρια που δεν αποφαίνονται σε τελευταίο βαθμό ως προς τις νομικές εκτιμήσεις του ανωτέρου δικαστηρίου, δεν μπορεί να αφαιρέσει από τα εν λόγω δικαστήρια την ευχέρεια να υποβάλουν στο Δικαστήριο προδικαστικά ερωτήματα ως προς την ερμηνεία του κοινοτικού δικαίου το οποίο αφορούν τέτοιες νομικές εκτιμήσεις» </w:t>
      </w:r>
      <w:r w:rsidRPr="00D67AED">
        <w:rPr>
          <w:rFonts w:asciiTheme="minorHAnsi" w:eastAsiaTheme="minorHAnsi" w:hAnsiTheme="minorHAnsi" w:cstheme="minorHAnsi"/>
          <w:lang w:eastAsia="en-US"/>
        </w:rPr>
        <w:t xml:space="preserve">(ΔΕΚ, 166/73 </w:t>
      </w:r>
      <w:proofErr w:type="spellStart"/>
      <w:r w:rsidRPr="00D67AED">
        <w:rPr>
          <w:rFonts w:asciiTheme="minorHAnsi" w:eastAsiaTheme="minorHAnsi" w:hAnsiTheme="minorHAnsi" w:cstheme="minorHAnsi"/>
          <w:lang w:eastAsia="en-US"/>
        </w:rPr>
        <w:t>Rheinmühlen</w:t>
      </w:r>
      <w:proofErr w:type="spellEnd"/>
      <w:r w:rsidRPr="00D67AED">
        <w:rPr>
          <w:rFonts w:asciiTheme="minorHAnsi" w:eastAsiaTheme="minorHAnsi" w:hAnsiTheme="minorHAnsi" w:cstheme="minorHAnsi"/>
          <w:lang w:eastAsia="en-US"/>
        </w:rPr>
        <w:t xml:space="preserve"> ΙΙ).</w:t>
      </w:r>
    </w:p>
    <w:p w:rsidR="00971895" w:rsidRPr="00D67AED" w:rsidRDefault="00971895" w:rsidP="00971895">
      <w:pPr>
        <w:tabs>
          <w:tab w:val="num" w:pos="720"/>
        </w:tabs>
        <w:spacing w:line="360" w:lineRule="auto"/>
        <w:jc w:val="both"/>
        <w:rPr>
          <w:rFonts w:ascii="Calibri" w:hAnsi="Calibri"/>
          <w:color w:val="444444"/>
          <w:shd w:val="clear" w:color="auto" w:fill="FFFFFF"/>
        </w:rPr>
      </w:pPr>
    </w:p>
    <w:p w:rsidR="00971895" w:rsidRDefault="00971895" w:rsidP="00971895">
      <w:pPr>
        <w:tabs>
          <w:tab w:val="num" w:pos="720"/>
        </w:tabs>
        <w:spacing w:line="360" w:lineRule="auto"/>
        <w:jc w:val="both"/>
        <w:rPr>
          <w:rFonts w:ascii="Calibri" w:hAnsi="Calibri"/>
          <w:color w:val="444444"/>
          <w:shd w:val="clear" w:color="auto" w:fill="FFFFFF"/>
        </w:rPr>
      </w:pPr>
      <w:r>
        <w:rPr>
          <w:rFonts w:ascii="Calibri" w:hAnsi="Calibri"/>
          <w:color w:val="444444"/>
          <w:shd w:val="clear" w:color="auto" w:fill="FFFFFF"/>
        </w:rPr>
        <w:t xml:space="preserve">Κατά συνέπεια, </w:t>
      </w:r>
    </w:p>
    <w:p w:rsidR="00971895" w:rsidRDefault="00971895" w:rsidP="00971895">
      <w:pPr>
        <w:tabs>
          <w:tab w:val="num" w:pos="720"/>
        </w:tabs>
        <w:spacing w:line="360" w:lineRule="auto"/>
        <w:jc w:val="both"/>
        <w:rPr>
          <w:rFonts w:ascii="Calibri" w:hAnsi="Calibri"/>
          <w:color w:val="444444"/>
          <w:shd w:val="clear" w:color="auto" w:fill="FFFFFF"/>
        </w:rPr>
      </w:pPr>
    </w:p>
    <w:p w:rsidR="00971895" w:rsidRDefault="00971895" w:rsidP="00971895">
      <w:pPr>
        <w:tabs>
          <w:tab w:val="num" w:pos="720"/>
        </w:tabs>
        <w:spacing w:line="360" w:lineRule="auto"/>
        <w:jc w:val="both"/>
        <w:rPr>
          <w:rFonts w:ascii="Calibri" w:hAnsi="Calibri"/>
          <w:bCs/>
          <w:color w:val="444444"/>
          <w:shd w:val="clear" w:color="auto" w:fill="FFFFFF"/>
        </w:rPr>
      </w:pPr>
      <w:r>
        <w:rPr>
          <w:rFonts w:ascii="Calibri" w:hAnsi="Calibri" w:cs="Calibri"/>
          <w:bCs/>
        </w:rPr>
        <w:t>(1) Τ</w:t>
      </w:r>
      <w:r w:rsidRPr="00C60872">
        <w:rPr>
          <w:rFonts w:ascii="Calibri" w:hAnsi="Calibri" w:cs="Calibri"/>
          <w:bCs/>
        </w:rPr>
        <w:t xml:space="preserve">ο </w:t>
      </w:r>
      <w:proofErr w:type="spellStart"/>
      <w:r w:rsidRPr="00C60872">
        <w:rPr>
          <w:rFonts w:ascii="Calibri" w:hAnsi="Calibri" w:cs="Calibri"/>
          <w:bCs/>
        </w:rPr>
        <w:t>ΣτΕ</w:t>
      </w:r>
      <w:proofErr w:type="spellEnd"/>
      <w:r w:rsidRPr="00C60872">
        <w:rPr>
          <w:rFonts w:ascii="Calibri" w:hAnsi="Calibri" w:cs="Calibri"/>
          <w:bCs/>
        </w:rPr>
        <w:t xml:space="preserve"> </w:t>
      </w:r>
      <w:r>
        <w:rPr>
          <w:rFonts w:ascii="Calibri" w:hAnsi="Calibri" w:cs="Calibri"/>
          <w:bCs/>
        </w:rPr>
        <w:t xml:space="preserve">δεν ήταν υποχρεωμένο </w:t>
      </w:r>
      <w:r w:rsidRPr="00C60872">
        <w:rPr>
          <w:rFonts w:ascii="Calibri" w:hAnsi="Calibri" w:cs="Calibri"/>
          <w:bCs/>
        </w:rPr>
        <w:t xml:space="preserve">να απευθύνει προδικαστικό ερώτημα στο ΔΕΕ σύμφωνα με το αίτημα της </w:t>
      </w:r>
      <w:r>
        <w:rPr>
          <w:rFonts w:ascii="Calibri" w:hAnsi="Calibri" w:cs="Calibri"/>
          <w:bCs/>
        </w:rPr>
        <w:t xml:space="preserve">ΕΚΕ, στο βαθμό που το ζήτημα ερμηνείας του </w:t>
      </w:r>
      <w:proofErr w:type="spellStart"/>
      <w:r>
        <w:rPr>
          <w:rFonts w:ascii="Calibri" w:hAnsi="Calibri" w:cs="Calibri"/>
          <w:bCs/>
        </w:rPr>
        <w:t>ενωσιακού</w:t>
      </w:r>
      <w:proofErr w:type="spellEnd"/>
      <w:r>
        <w:rPr>
          <w:rFonts w:ascii="Calibri" w:hAnsi="Calibri" w:cs="Calibri"/>
          <w:bCs/>
        </w:rPr>
        <w:t xml:space="preserve"> δικαίου, που κλήθηκε να αντιμετωπίσει, </w:t>
      </w:r>
      <w:r w:rsidRPr="002D27DA">
        <w:rPr>
          <w:rFonts w:ascii="Calibri" w:hAnsi="Calibri"/>
          <w:bCs/>
          <w:color w:val="444444"/>
          <w:shd w:val="clear" w:color="auto" w:fill="FFFFFF"/>
        </w:rPr>
        <w:t xml:space="preserve">είναι </w:t>
      </w:r>
      <w:r w:rsidRPr="002D27DA">
        <w:rPr>
          <w:rFonts w:ascii="Calibri" w:hAnsi="Calibri"/>
          <w:bCs/>
          <w:i/>
          <w:iCs/>
          <w:color w:val="444444"/>
          <w:shd w:val="clear" w:color="auto" w:fill="FFFFFF"/>
        </w:rPr>
        <w:t>«κατ’ ουσία ταυτόσημο»</w:t>
      </w:r>
      <w:r w:rsidRPr="002D27DA">
        <w:rPr>
          <w:rFonts w:ascii="Calibri" w:hAnsi="Calibri"/>
          <w:bCs/>
          <w:color w:val="444444"/>
          <w:shd w:val="clear" w:color="auto" w:fill="FFFFFF"/>
        </w:rPr>
        <w:t xml:space="preserve"> με ζήτημα που έχει ήδη αντιμετωπισθεί από τη νομολογία του ΔΕΕ</w:t>
      </w:r>
      <w:r>
        <w:rPr>
          <w:rFonts w:ascii="Calibri" w:hAnsi="Calibri"/>
          <w:bCs/>
          <w:color w:val="444444"/>
          <w:shd w:val="clear" w:color="auto" w:fill="FFFFFF"/>
        </w:rPr>
        <w:t xml:space="preserve">, μετά την απόφασή του στην υπόθεση </w:t>
      </w:r>
      <w:r w:rsidRPr="000F4F72">
        <w:rPr>
          <w:rFonts w:ascii="Calibri" w:hAnsi="Calibri" w:cs="Calibri"/>
        </w:rPr>
        <w:t xml:space="preserve">C-5/22, </w:t>
      </w:r>
      <w:proofErr w:type="spellStart"/>
      <w:r w:rsidRPr="000F4F72">
        <w:rPr>
          <w:rFonts w:ascii="Calibri" w:hAnsi="Calibri" w:cs="Calibri"/>
        </w:rPr>
        <w:t>Green</w:t>
      </w:r>
      <w:proofErr w:type="spellEnd"/>
      <w:r w:rsidRPr="000F4F72">
        <w:rPr>
          <w:rFonts w:ascii="Calibri" w:hAnsi="Calibri" w:cs="Calibri"/>
        </w:rPr>
        <w:t xml:space="preserve"> </w:t>
      </w:r>
      <w:proofErr w:type="spellStart"/>
      <w:r w:rsidRPr="000F4F72">
        <w:rPr>
          <w:rFonts w:ascii="Calibri" w:hAnsi="Calibri" w:cs="Calibri"/>
        </w:rPr>
        <w:t>Network</w:t>
      </w:r>
      <w:proofErr w:type="spellEnd"/>
      <w:r>
        <w:rPr>
          <w:rFonts w:ascii="Calibri" w:hAnsi="Calibri"/>
          <w:bCs/>
          <w:color w:val="444444"/>
          <w:shd w:val="clear" w:color="auto" w:fill="FFFFFF"/>
        </w:rPr>
        <w:t xml:space="preserve">. </w:t>
      </w:r>
    </w:p>
    <w:p w:rsidR="00971895" w:rsidRDefault="00971895" w:rsidP="00971895">
      <w:pPr>
        <w:tabs>
          <w:tab w:val="num" w:pos="720"/>
        </w:tabs>
        <w:spacing w:line="360" w:lineRule="auto"/>
        <w:jc w:val="both"/>
        <w:rPr>
          <w:rFonts w:ascii="Calibri" w:hAnsi="Calibri"/>
          <w:bCs/>
          <w:color w:val="444444"/>
          <w:shd w:val="clear" w:color="auto" w:fill="FFFFFF"/>
        </w:rPr>
      </w:pPr>
    </w:p>
    <w:p w:rsidR="00971895" w:rsidRPr="00B64133" w:rsidRDefault="00971895" w:rsidP="00971895">
      <w:pPr>
        <w:tabs>
          <w:tab w:val="num" w:pos="720"/>
        </w:tabs>
        <w:spacing w:line="360" w:lineRule="auto"/>
        <w:jc w:val="both"/>
        <w:rPr>
          <w:rFonts w:ascii="Calibri" w:hAnsi="Calibri"/>
        </w:rPr>
      </w:pPr>
      <w:r>
        <w:rPr>
          <w:rFonts w:ascii="Calibri" w:hAnsi="Calibri"/>
          <w:bCs/>
          <w:color w:val="444444"/>
          <w:shd w:val="clear" w:color="auto" w:fill="FFFFFF"/>
        </w:rPr>
        <w:t xml:space="preserve">(2)   Το </w:t>
      </w:r>
      <w:proofErr w:type="spellStart"/>
      <w:r>
        <w:rPr>
          <w:rFonts w:ascii="Calibri" w:hAnsi="Calibri"/>
          <w:bCs/>
          <w:color w:val="444444"/>
          <w:shd w:val="clear" w:color="auto" w:fill="FFFFFF"/>
        </w:rPr>
        <w:t>ΣτΕ</w:t>
      </w:r>
      <w:proofErr w:type="spellEnd"/>
      <w:r w:rsidR="00D67AED">
        <w:rPr>
          <w:rFonts w:ascii="Calibri" w:hAnsi="Calibri"/>
          <w:bCs/>
          <w:color w:val="444444"/>
          <w:shd w:val="clear" w:color="auto" w:fill="FFFFFF"/>
        </w:rPr>
        <w:t xml:space="preserve"> είναι υποχρεωμένο να λαμβάνει υπόψη και </w:t>
      </w:r>
      <w:r>
        <w:rPr>
          <w:rFonts w:ascii="Calibri" w:hAnsi="Calibri"/>
          <w:bCs/>
          <w:color w:val="444444"/>
          <w:shd w:val="clear" w:color="auto" w:fill="FFFFFF"/>
        </w:rPr>
        <w:t xml:space="preserve">να </w:t>
      </w:r>
      <w:r w:rsidR="00D67AED">
        <w:rPr>
          <w:rFonts w:ascii="Calibri" w:hAnsi="Calibri"/>
          <w:bCs/>
          <w:color w:val="444444"/>
          <w:shd w:val="clear" w:color="auto" w:fill="FFFFFF"/>
        </w:rPr>
        <w:t>συμμορφώνεται</w:t>
      </w:r>
      <w:r>
        <w:rPr>
          <w:rFonts w:ascii="Calibri" w:hAnsi="Calibri"/>
          <w:bCs/>
          <w:color w:val="444444"/>
          <w:shd w:val="clear" w:color="auto" w:fill="FFFFFF"/>
        </w:rPr>
        <w:t xml:space="preserve"> με τη σχετική  νομολογία του ΔΕΕ και αν σκοπεύει να παρεκκλίνει είναι υποχρεωμένο να παραπέμψει προδικαστικό ερώτημα στο ΔΕΕ</w:t>
      </w:r>
      <w:r w:rsidRPr="009D584B">
        <w:rPr>
          <w:rFonts w:asciiTheme="minorHAnsi" w:hAnsiTheme="minorHAnsi"/>
          <w:i/>
          <w:color w:val="444444"/>
          <w:shd w:val="clear" w:color="auto" w:fill="FFFFFF"/>
        </w:rPr>
        <w:t>.</w:t>
      </w:r>
      <w:r>
        <w:rPr>
          <w:rFonts w:asciiTheme="minorHAnsi" w:hAnsiTheme="minorHAnsi"/>
          <w:i/>
          <w:color w:val="444444"/>
          <w:shd w:val="clear" w:color="auto" w:fill="FFFFFF"/>
        </w:rPr>
        <w:t xml:space="preserve"> </w:t>
      </w:r>
      <w:r>
        <w:rPr>
          <w:rFonts w:asciiTheme="minorHAnsi" w:hAnsiTheme="minorHAnsi"/>
          <w:color w:val="444444"/>
          <w:shd w:val="clear" w:color="auto" w:fill="FFFFFF"/>
        </w:rPr>
        <w:t xml:space="preserve">Συνεπώς, η ΕΚΕ </w:t>
      </w:r>
      <w:r w:rsidRPr="00B64133">
        <w:rPr>
          <w:rFonts w:ascii="Calibri" w:hAnsi="Calibri" w:cs="Calibri"/>
          <w:bCs/>
        </w:rPr>
        <w:t xml:space="preserve">μπορεί να προσφύγει στο αρμόδιο ελληνικό δικαστήριο και να αξιώσει, κατά τη νομολογία </w:t>
      </w:r>
      <w:r w:rsidRPr="00B64133">
        <w:rPr>
          <w:rFonts w:ascii="Calibri" w:hAnsi="Calibri"/>
          <w:bCs/>
          <w:i/>
          <w:iCs/>
          <w:color w:val="444444"/>
          <w:shd w:val="clear" w:color="auto" w:fill="FFFFFF"/>
          <w:lang w:val="en-US"/>
        </w:rPr>
        <w:t>K</w:t>
      </w:r>
      <w:r w:rsidRPr="00B64133">
        <w:rPr>
          <w:rFonts w:ascii="Calibri" w:hAnsi="Calibri"/>
          <w:bCs/>
          <w:i/>
          <w:iCs/>
          <w:color w:val="444444"/>
          <w:shd w:val="clear" w:color="auto" w:fill="FFFFFF"/>
        </w:rPr>
        <w:t>ö</w:t>
      </w:r>
      <w:r w:rsidRPr="00B64133">
        <w:rPr>
          <w:rFonts w:ascii="Calibri" w:hAnsi="Calibri"/>
          <w:bCs/>
          <w:i/>
          <w:iCs/>
          <w:color w:val="444444"/>
          <w:shd w:val="clear" w:color="auto" w:fill="FFFFFF"/>
          <w:lang w:val="en-US"/>
        </w:rPr>
        <w:t>bler</w:t>
      </w:r>
      <w:r w:rsidRPr="00B64133">
        <w:rPr>
          <w:rFonts w:ascii="Calibri" w:hAnsi="Calibri"/>
          <w:bCs/>
          <w:i/>
          <w:iCs/>
          <w:color w:val="444444"/>
          <w:shd w:val="clear" w:color="auto" w:fill="FFFFFF"/>
        </w:rPr>
        <w:t xml:space="preserve"> </w:t>
      </w:r>
      <w:r w:rsidRPr="00B64133">
        <w:rPr>
          <w:rFonts w:ascii="Calibri" w:hAnsi="Calibri"/>
          <w:bCs/>
          <w:iCs/>
          <w:color w:val="444444"/>
          <w:shd w:val="clear" w:color="auto" w:fill="FFFFFF"/>
        </w:rPr>
        <w:t xml:space="preserve">και </w:t>
      </w:r>
      <w:r w:rsidRPr="00D67AED">
        <w:rPr>
          <w:rFonts w:ascii="Calibri" w:hAnsi="Calibri"/>
          <w:i/>
          <w:lang w:val="en-US"/>
        </w:rPr>
        <w:t>Francovich</w:t>
      </w:r>
      <w:r w:rsidRPr="00D67AED">
        <w:rPr>
          <w:rFonts w:ascii="Calibri" w:hAnsi="Calibri"/>
          <w:i/>
        </w:rPr>
        <w:t>,</w:t>
      </w:r>
      <w:r w:rsidRPr="00B64133">
        <w:rPr>
          <w:rFonts w:ascii="Calibri" w:hAnsi="Calibri"/>
        </w:rPr>
        <w:t xml:space="preserve"> στρεφόμενη κατά του ελληνικού δημοσίου, αποκατάσταση της ζημίας που υφίσταται κατά παράβαση του </w:t>
      </w:r>
      <w:proofErr w:type="spellStart"/>
      <w:r w:rsidRPr="00B64133">
        <w:rPr>
          <w:rFonts w:ascii="Calibri" w:hAnsi="Calibri"/>
        </w:rPr>
        <w:t>ενωσιακού</w:t>
      </w:r>
      <w:proofErr w:type="spellEnd"/>
      <w:r w:rsidRPr="00B64133">
        <w:rPr>
          <w:rFonts w:ascii="Calibri" w:hAnsi="Calibri"/>
        </w:rPr>
        <w:t xml:space="preserve"> δικαίου στο  βαθμό που το </w:t>
      </w:r>
      <w:proofErr w:type="spellStart"/>
      <w:r w:rsidRPr="00B64133">
        <w:rPr>
          <w:rFonts w:ascii="Calibri" w:hAnsi="Calibri"/>
        </w:rPr>
        <w:t>ΣτΕ</w:t>
      </w:r>
      <w:proofErr w:type="spellEnd"/>
      <w:r w:rsidRPr="00B64133">
        <w:rPr>
          <w:rFonts w:ascii="Calibri" w:hAnsi="Calibri"/>
        </w:rPr>
        <w:t xml:space="preserve"> </w:t>
      </w:r>
      <w:r w:rsidRPr="00B64133">
        <w:rPr>
          <w:rFonts w:ascii="Calibri" w:hAnsi="Calibri"/>
        </w:rPr>
        <w:lastRenderedPageBreak/>
        <w:t>αποφάσισε  αγνοώντας την σχετική νομολογία του Δικαστηρίου</w:t>
      </w:r>
      <w:r w:rsidR="00D67AED">
        <w:rPr>
          <w:rFonts w:ascii="Calibri" w:hAnsi="Calibri"/>
        </w:rPr>
        <w:t xml:space="preserve"> με αποτέλεσμα να δημιουργήσει ζημία στα μέλη της ΕΚΕ</w:t>
      </w:r>
      <w:r w:rsidRPr="00B64133">
        <w:rPr>
          <w:rFonts w:ascii="Calibri" w:hAnsi="Calibri"/>
        </w:rPr>
        <w:t xml:space="preserve">. </w:t>
      </w:r>
    </w:p>
    <w:p w:rsidR="009450BB" w:rsidRPr="006228A0" w:rsidRDefault="009450BB" w:rsidP="009450BB">
      <w:pPr>
        <w:jc w:val="both"/>
        <w:rPr>
          <w:rFonts w:ascii="Calibri" w:hAnsi="Calibri"/>
          <w:b/>
        </w:rPr>
      </w:pPr>
    </w:p>
    <w:p w:rsidR="00D67AED" w:rsidRPr="00F949A7" w:rsidRDefault="00D67AED" w:rsidP="00D67AED">
      <w:pPr>
        <w:spacing w:line="360" w:lineRule="auto"/>
        <w:jc w:val="both"/>
        <w:rPr>
          <w:rFonts w:asciiTheme="minorHAnsi" w:eastAsiaTheme="minorHAnsi" w:hAnsiTheme="minorHAnsi" w:cstheme="minorHAnsi"/>
          <w:bCs/>
          <w:i/>
          <w:sz w:val="22"/>
          <w:szCs w:val="22"/>
          <w:lang w:eastAsia="en-US"/>
        </w:rPr>
      </w:pPr>
      <w:r w:rsidRPr="00F949A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3</w:t>
      </w:r>
      <w:r w:rsidRPr="00F949A7">
        <w:rPr>
          <w:rFonts w:asciiTheme="minorHAnsi" w:eastAsiaTheme="minorHAnsi" w:hAnsiTheme="minorHAnsi" w:cstheme="minorHAnsi"/>
          <w:sz w:val="22"/>
          <w:szCs w:val="22"/>
          <w:lang w:eastAsia="en-US"/>
        </w:rPr>
        <w:t xml:space="preserve">) Συνεπώς </w:t>
      </w:r>
      <w:r>
        <w:rPr>
          <w:rFonts w:asciiTheme="minorHAnsi" w:eastAsiaTheme="minorHAnsi" w:hAnsiTheme="minorHAnsi" w:cstheme="minorHAnsi"/>
          <w:sz w:val="22"/>
          <w:szCs w:val="22"/>
          <w:lang w:eastAsia="en-US"/>
        </w:rPr>
        <w:t xml:space="preserve">η διάταξη του </w:t>
      </w:r>
      <w:r w:rsidRPr="000F4F72">
        <w:rPr>
          <w:rFonts w:ascii="Calibri" w:hAnsi="Calibri" w:cs="Calibri"/>
        </w:rPr>
        <w:t>Οργανισμ</w:t>
      </w:r>
      <w:r>
        <w:rPr>
          <w:rFonts w:ascii="Calibri" w:hAnsi="Calibri" w:cs="Calibri"/>
        </w:rPr>
        <w:t>ού</w:t>
      </w:r>
      <w:r w:rsidRPr="000F4F72">
        <w:rPr>
          <w:rFonts w:ascii="Calibri" w:hAnsi="Calibri" w:cs="Calibri"/>
        </w:rPr>
        <w:t xml:space="preserve"> του</w:t>
      </w:r>
      <w:r>
        <w:rPr>
          <w:rFonts w:ascii="Calibri" w:hAnsi="Calibri" w:cs="Calibri"/>
        </w:rPr>
        <w:t xml:space="preserve"> </w:t>
      </w:r>
      <w:proofErr w:type="spellStart"/>
      <w:r>
        <w:rPr>
          <w:rFonts w:ascii="Calibri" w:hAnsi="Calibri" w:cs="Calibri"/>
        </w:rPr>
        <w:t>ΣτΕ</w:t>
      </w:r>
      <w:proofErr w:type="spellEnd"/>
      <w:r w:rsidRPr="000F4F72">
        <w:rPr>
          <w:rFonts w:ascii="Calibri" w:hAnsi="Calibri" w:cs="Calibri"/>
        </w:rPr>
        <w:t xml:space="preserve">, που προβλέπει ότι το δικαστήριο δεν θα πρέπει να απευθύνεται προδικαστικά στο ΔΕΕ, όταν το ζήτημα </w:t>
      </w:r>
      <w:proofErr w:type="spellStart"/>
      <w:r w:rsidRPr="000F4F72">
        <w:rPr>
          <w:rFonts w:ascii="Calibri" w:hAnsi="Calibri" w:cs="Calibri"/>
        </w:rPr>
        <w:t>ενωσιακού</w:t>
      </w:r>
      <w:proofErr w:type="spellEnd"/>
      <w:r w:rsidRPr="000F4F72">
        <w:rPr>
          <w:rFonts w:ascii="Calibri" w:hAnsi="Calibri" w:cs="Calibri"/>
        </w:rPr>
        <w:t xml:space="preserve"> δικαίου που άγεται προς κρίση του είναι σαφές ή είναι ταυτόσημο με ζήτημα που έχει αντιμετωπισθεί ήδη από τη νομολογία του ΔΕΕ</w:t>
      </w:r>
      <w:r>
        <w:rPr>
          <w:rFonts w:ascii="Calibri" w:hAnsi="Calibri" w:cs="Calibri"/>
        </w:rPr>
        <w:t xml:space="preserve">, </w:t>
      </w:r>
      <w:r w:rsidRPr="00F949A7">
        <w:rPr>
          <w:rFonts w:asciiTheme="minorHAnsi" w:eastAsiaTheme="minorHAnsi" w:hAnsiTheme="minorHAnsi" w:cstheme="minorHAnsi"/>
          <w:sz w:val="22"/>
          <w:szCs w:val="22"/>
          <w:lang w:eastAsia="en-US"/>
        </w:rPr>
        <w:t>είναι αντίθετη με το δίκαιο της Ένωσης, αφού αφαιρεί από τον εθνικό δικαστή την εξουσία που του απονέμει το  άρθρο 267 ΣΛΕΕ.</w:t>
      </w:r>
    </w:p>
    <w:p w:rsidR="002904AB" w:rsidRDefault="002904AB"/>
    <w:sectPr w:rsidR="002904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C2"/>
    <w:rsid w:val="00031E83"/>
    <w:rsid w:val="002904AB"/>
    <w:rsid w:val="00333587"/>
    <w:rsid w:val="003D7C28"/>
    <w:rsid w:val="009450BB"/>
    <w:rsid w:val="00971895"/>
    <w:rsid w:val="00C954C2"/>
    <w:rsid w:val="00D67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2ECD-7847-4597-8BD7-DE92DD4E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basedOn w:val="a"/>
    <w:rsid w:val="009450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46DE46-FB33-478C-AF8D-DE8FBE0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2793</Words>
  <Characters>15084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cp:revision>
  <dcterms:created xsi:type="dcterms:W3CDTF">2023-06-13T05:32:00Z</dcterms:created>
  <dcterms:modified xsi:type="dcterms:W3CDTF">2023-06-14T10:33:00Z</dcterms:modified>
</cp:coreProperties>
</file>